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4377" w14:textId="77777777" w:rsidR="006D72F2" w:rsidRPr="00832FBC" w:rsidRDefault="00E215EB" w:rsidP="001E56B8">
      <w:pPr>
        <w:jc w:val="both"/>
        <w:rPr>
          <w:rFonts w:ascii="Times New Roman" w:hAnsi="Times New Roman" w:cs="Times New Roman"/>
        </w:rPr>
      </w:pPr>
    </w:p>
    <w:p w14:paraId="5879F463" w14:textId="77777777" w:rsidR="006909FE" w:rsidRPr="00832FBC" w:rsidRDefault="006909FE" w:rsidP="002A5BEE">
      <w:pPr>
        <w:pStyle w:val="NormalnyWeb"/>
        <w:shd w:val="clear" w:color="auto" w:fill="FFFFFF"/>
        <w:spacing w:before="60" w:beforeAutospacing="0" w:after="60" w:afterAutospacing="0" w:line="240" w:lineRule="auto"/>
        <w:jc w:val="center"/>
        <w:rPr>
          <w:rFonts w:ascii="Times New Roman" w:hAnsi="Times New Roman"/>
          <w:b/>
          <w:color w:val="auto"/>
          <w:sz w:val="36"/>
          <w:szCs w:val="36"/>
        </w:rPr>
      </w:pPr>
      <w:r w:rsidRPr="00832FBC">
        <w:rPr>
          <w:rFonts w:ascii="Times New Roman" w:hAnsi="Times New Roman"/>
          <w:b/>
          <w:color w:val="auto"/>
          <w:sz w:val="36"/>
          <w:szCs w:val="36"/>
        </w:rPr>
        <w:t>Program Operacyjny Wiedza Edukacja Rozwój</w:t>
      </w:r>
    </w:p>
    <w:p w14:paraId="59A150BB" w14:textId="77777777" w:rsidR="006909FE" w:rsidRPr="00832FBC" w:rsidRDefault="006F14F0" w:rsidP="002A5BEE">
      <w:pPr>
        <w:pStyle w:val="NormalnyWeb"/>
        <w:shd w:val="clear" w:color="auto" w:fill="FFFFFF"/>
        <w:spacing w:before="60" w:beforeAutospacing="0" w:after="60" w:afterAutospacing="0" w:line="240" w:lineRule="auto"/>
        <w:jc w:val="center"/>
        <w:rPr>
          <w:rFonts w:ascii="Times New Roman" w:hAnsi="Times New Roman"/>
          <w:b/>
          <w:color w:val="auto"/>
          <w:sz w:val="36"/>
          <w:szCs w:val="36"/>
        </w:rPr>
      </w:pPr>
      <w:r w:rsidRPr="00832FBC">
        <w:rPr>
          <w:rFonts w:ascii="Times New Roman" w:hAnsi="Times New Roman"/>
          <w:b/>
          <w:color w:val="auto"/>
          <w:sz w:val="36"/>
          <w:szCs w:val="36"/>
        </w:rPr>
        <w:t xml:space="preserve">Działanie </w:t>
      </w:r>
      <w:r w:rsidR="006909FE" w:rsidRPr="00832FBC">
        <w:rPr>
          <w:rFonts w:ascii="Times New Roman" w:hAnsi="Times New Roman"/>
          <w:b/>
          <w:color w:val="auto"/>
          <w:sz w:val="36"/>
          <w:szCs w:val="36"/>
        </w:rPr>
        <w:t>2.</w:t>
      </w:r>
      <w:r w:rsidR="00302D79" w:rsidRPr="00832FBC">
        <w:rPr>
          <w:rFonts w:ascii="Times New Roman" w:hAnsi="Times New Roman"/>
          <w:b/>
          <w:color w:val="auto"/>
          <w:sz w:val="36"/>
          <w:szCs w:val="36"/>
        </w:rPr>
        <w:t>12, Sektorowe Rady ds. Kompetencji</w:t>
      </w:r>
    </w:p>
    <w:p w14:paraId="1CA2FCD0" w14:textId="77777777" w:rsidR="006909FE" w:rsidRPr="00832FBC"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bookmarkStart w:id="0" w:name="spis_tresci"/>
    </w:p>
    <w:p w14:paraId="33C97A1A" w14:textId="77777777" w:rsidR="006909FE" w:rsidRPr="00832FBC"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p>
    <w:p w14:paraId="535DF64F" w14:textId="51B2FA39" w:rsidR="001E56B8" w:rsidRPr="00832FBC" w:rsidRDefault="002F4225"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r w:rsidRPr="00832FBC">
        <w:rPr>
          <w:rStyle w:val="Pogrubienie"/>
          <w:rFonts w:ascii="Times New Roman" w:hAnsi="Times New Roman"/>
          <w:color w:val="auto"/>
          <w:sz w:val="24"/>
          <w:szCs w:val="24"/>
        </w:rPr>
        <w:t xml:space="preserve">Odpowiedzi na pytania </w:t>
      </w:r>
      <w:bookmarkStart w:id="1" w:name="_Toc442363761"/>
      <w:bookmarkEnd w:id="0"/>
      <w:r w:rsidRPr="00832FBC">
        <w:rPr>
          <w:rStyle w:val="Pogrubienie"/>
          <w:rFonts w:ascii="Times New Roman" w:hAnsi="Times New Roman"/>
          <w:color w:val="auto"/>
          <w:sz w:val="24"/>
          <w:szCs w:val="24"/>
        </w:rPr>
        <w:t xml:space="preserve">zadane </w:t>
      </w:r>
      <w:r w:rsidR="006F14F0" w:rsidRPr="00832FBC">
        <w:rPr>
          <w:rStyle w:val="Pogrubienie"/>
          <w:rFonts w:ascii="Times New Roman" w:hAnsi="Times New Roman"/>
          <w:color w:val="auto"/>
          <w:sz w:val="24"/>
          <w:szCs w:val="24"/>
        </w:rPr>
        <w:t xml:space="preserve">w okresie od </w:t>
      </w:r>
      <w:r w:rsidR="00450C26">
        <w:rPr>
          <w:rStyle w:val="Pogrubienie"/>
          <w:rFonts w:ascii="Times New Roman" w:hAnsi="Times New Roman"/>
          <w:color w:val="auto"/>
          <w:sz w:val="24"/>
          <w:szCs w:val="24"/>
        </w:rPr>
        <w:t>18</w:t>
      </w:r>
      <w:r w:rsidR="00302D79" w:rsidRPr="00832FBC">
        <w:rPr>
          <w:rStyle w:val="Pogrubienie"/>
          <w:rFonts w:ascii="Times New Roman" w:hAnsi="Times New Roman"/>
          <w:color w:val="auto"/>
          <w:sz w:val="24"/>
          <w:szCs w:val="24"/>
        </w:rPr>
        <w:t>.0</w:t>
      </w:r>
      <w:r w:rsidR="00D73CAD">
        <w:rPr>
          <w:rStyle w:val="Pogrubienie"/>
          <w:rFonts w:ascii="Times New Roman" w:hAnsi="Times New Roman"/>
          <w:color w:val="auto"/>
          <w:sz w:val="24"/>
          <w:szCs w:val="24"/>
        </w:rPr>
        <w:t>4</w:t>
      </w:r>
      <w:r w:rsidR="00302D79" w:rsidRPr="00832FBC">
        <w:rPr>
          <w:rStyle w:val="Pogrubienie"/>
          <w:rFonts w:ascii="Times New Roman" w:hAnsi="Times New Roman"/>
          <w:color w:val="auto"/>
          <w:sz w:val="24"/>
          <w:szCs w:val="24"/>
        </w:rPr>
        <w:t>.2016</w:t>
      </w:r>
      <w:r w:rsidR="006F14F0" w:rsidRPr="00832FBC">
        <w:rPr>
          <w:rStyle w:val="Pogrubienie"/>
          <w:rFonts w:ascii="Times New Roman" w:hAnsi="Times New Roman"/>
          <w:color w:val="auto"/>
          <w:sz w:val="24"/>
          <w:szCs w:val="24"/>
        </w:rPr>
        <w:t xml:space="preserve"> </w:t>
      </w:r>
      <w:proofErr w:type="gramStart"/>
      <w:r w:rsidR="006F14F0" w:rsidRPr="00AE4F69">
        <w:rPr>
          <w:rStyle w:val="Pogrubienie"/>
          <w:rFonts w:ascii="Times New Roman" w:hAnsi="Times New Roman"/>
          <w:color w:val="auto"/>
          <w:sz w:val="24"/>
          <w:szCs w:val="24"/>
        </w:rPr>
        <w:t>do</w:t>
      </w:r>
      <w:proofErr w:type="gramEnd"/>
      <w:r w:rsidR="006F14F0" w:rsidRPr="00AE4F69">
        <w:rPr>
          <w:rStyle w:val="Pogrubienie"/>
          <w:rFonts w:ascii="Times New Roman" w:hAnsi="Times New Roman"/>
          <w:color w:val="auto"/>
          <w:sz w:val="24"/>
          <w:szCs w:val="24"/>
        </w:rPr>
        <w:t xml:space="preserve"> </w:t>
      </w:r>
      <w:r w:rsidR="00450C26">
        <w:rPr>
          <w:rStyle w:val="Pogrubienie"/>
          <w:rFonts w:ascii="Times New Roman" w:hAnsi="Times New Roman"/>
          <w:color w:val="auto"/>
          <w:sz w:val="24"/>
          <w:szCs w:val="24"/>
        </w:rPr>
        <w:t>22</w:t>
      </w:r>
      <w:r w:rsidR="00D102E9" w:rsidRPr="00AE4F69">
        <w:rPr>
          <w:rStyle w:val="Pogrubienie"/>
          <w:rFonts w:ascii="Times New Roman" w:hAnsi="Times New Roman"/>
          <w:color w:val="auto"/>
          <w:sz w:val="24"/>
          <w:szCs w:val="24"/>
        </w:rPr>
        <w:t>.</w:t>
      </w:r>
      <w:r w:rsidR="00D102E9" w:rsidRPr="00832FBC">
        <w:rPr>
          <w:rStyle w:val="Pogrubienie"/>
          <w:rFonts w:ascii="Times New Roman" w:hAnsi="Times New Roman"/>
          <w:color w:val="auto"/>
          <w:sz w:val="24"/>
          <w:szCs w:val="24"/>
        </w:rPr>
        <w:t>0</w:t>
      </w:r>
      <w:r w:rsidR="00D73CAD">
        <w:rPr>
          <w:rStyle w:val="Pogrubienie"/>
          <w:rFonts w:ascii="Times New Roman" w:hAnsi="Times New Roman"/>
          <w:color w:val="auto"/>
          <w:sz w:val="24"/>
          <w:szCs w:val="24"/>
        </w:rPr>
        <w:t>4</w:t>
      </w:r>
      <w:r w:rsidR="00D102E9" w:rsidRPr="00832FBC">
        <w:rPr>
          <w:rStyle w:val="Pogrubienie"/>
          <w:rFonts w:ascii="Times New Roman" w:hAnsi="Times New Roman"/>
          <w:color w:val="auto"/>
          <w:sz w:val="24"/>
          <w:szCs w:val="24"/>
        </w:rPr>
        <w:t>.</w:t>
      </w:r>
      <w:r w:rsidR="00302D79" w:rsidRPr="00832FBC">
        <w:rPr>
          <w:rStyle w:val="Pogrubienie"/>
          <w:rFonts w:ascii="Times New Roman" w:hAnsi="Times New Roman"/>
          <w:color w:val="auto"/>
          <w:sz w:val="24"/>
          <w:szCs w:val="24"/>
        </w:rPr>
        <w:t xml:space="preserve">2016 </w:t>
      </w:r>
      <w:proofErr w:type="gramStart"/>
      <w:r w:rsidR="00302D79" w:rsidRPr="00832FBC">
        <w:rPr>
          <w:rStyle w:val="Pogrubienie"/>
          <w:rFonts w:ascii="Times New Roman" w:hAnsi="Times New Roman"/>
          <w:color w:val="auto"/>
          <w:sz w:val="24"/>
          <w:szCs w:val="24"/>
        </w:rPr>
        <w:t>r</w:t>
      </w:r>
      <w:proofErr w:type="gramEnd"/>
      <w:r w:rsidR="00302D79" w:rsidRPr="00832FBC">
        <w:rPr>
          <w:rStyle w:val="Pogrubienie"/>
          <w:rFonts w:ascii="Times New Roman" w:hAnsi="Times New Roman"/>
          <w:color w:val="auto"/>
          <w:sz w:val="24"/>
          <w:szCs w:val="24"/>
        </w:rPr>
        <w:t>.</w:t>
      </w:r>
    </w:p>
    <w:bookmarkEnd w:id="1"/>
    <w:p w14:paraId="56BF1DBF" w14:textId="77777777" w:rsidR="006909FE" w:rsidRPr="00832FBC"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352"/>
      </w:tblGrid>
      <w:tr w:rsidR="00832FBC" w:rsidRPr="006F1E0F" w14:paraId="4FCFB0A4" w14:textId="77777777" w:rsidTr="001E56B8">
        <w:trPr>
          <w:cantSplit/>
          <w:trHeight w:val="422"/>
        </w:trPr>
        <w:tc>
          <w:tcPr>
            <w:tcW w:w="1708" w:type="dxa"/>
            <w:vMerge w:val="restart"/>
          </w:tcPr>
          <w:p w14:paraId="3446DD3F" w14:textId="77777777" w:rsidR="006909FE" w:rsidRDefault="00450C26" w:rsidP="00FA7279">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15</w:t>
            </w:r>
          </w:p>
          <w:p w14:paraId="7CE51B8C" w14:textId="1DA292E7" w:rsidR="00314CCC" w:rsidRPr="006F1E0F" w:rsidRDefault="00314CCC" w:rsidP="00FA7279">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4" w:type="dxa"/>
          </w:tcPr>
          <w:p w14:paraId="18F37B58" w14:textId="04BAF556" w:rsidR="006B2BE6" w:rsidRPr="006F1E0F" w:rsidRDefault="00314CCC" w:rsidP="00D73CAD">
            <w:pPr>
              <w:jc w:val="both"/>
              <w:rPr>
                <w:rFonts w:ascii="Times New Roman" w:hAnsi="Times New Roman" w:cs="Times New Roman"/>
                <w:sz w:val="24"/>
                <w:szCs w:val="24"/>
              </w:rPr>
            </w:pPr>
            <w:r w:rsidRPr="00314CCC">
              <w:rPr>
                <w:rFonts w:ascii="Times New Roman" w:hAnsi="Times New Roman" w:cs="Times New Roman"/>
                <w:sz w:val="24"/>
                <w:szCs w:val="24"/>
              </w:rPr>
              <w:t>W zestawieniu przykładowego katalogu zadań/zakresów obowiązków personelu projektu kwalifikowanych w ramach konkursu, wśród zadań są takie, których nie wypełnia Specjalista ds. realizacji projektu ani Animator Rady, np. prowadzenie Sekretariatu Rady. Czy kosztem kwalifikowanym do kosztów bezpośrednich będzie osoba prowadząca sekretariat Rady, niebędąca Specjalistą ds. realizacji projektu ani Animatorem Rady?</w:t>
            </w:r>
          </w:p>
        </w:tc>
      </w:tr>
      <w:tr w:rsidR="006909FE" w:rsidRPr="006F1E0F" w14:paraId="6881ED10" w14:textId="77777777" w:rsidTr="001E56B8">
        <w:trPr>
          <w:cantSplit/>
          <w:trHeight w:val="1265"/>
        </w:trPr>
        <w:tc>
          <w:tcPr>
            <w:tcW w:w="1708" w:type="dxa"/>
            <w:vMerge/>
          </w:tcPr>
          <w:p w14:paraId="6DB85CF7" w14:textId="77777777" w:rsidR="006909FE" w:rsidRPr="006F1E0F" w:rsidRDefault="006909FE" w:rsidP="006F1E0F">
            <w:pPr>
              <w:spacing w:before="60" w:after="60" w:line="240" w:lineRule="auto"/>
              <w:jc w:val="both"/>
              <w:rPr>
                <w:rFonts w:ascii="Times New Roman" w:hAnsi="Times New Roman" w:cs="Times New Roman"/>
                <w:sz w:val="24"/>
                <w:szCs w:val="24"/>
              </w:rPr>
            </w:pPr>
          </w:p>
        </w:tc>
        <w:tc>
          <w:tcPr>
            <w:tcW w:w="7354" w:type="dxa"/>
          </w:tcPr>
          <w:p w14:paraId="1FA5C6C4" w14:textId="77777777" w:rsidR="00314CCC" w:rsidRPr="00314CCC" w:rsidRDefault="00314CCC" w:rsidP="00314CCC">
            <w:pPr>
              <w:spacing w:before="60" w:after="60" w:line="240" w:lineRule="auto"/>
              <w:jc w:val="both"/>
              <w:rPr>
                <w:rFonts w:ascii="Times New Roman" w:hAnsi="Times New Roman" w:cs="Times New Roman"/>
                <w:sz w:val="24"/>
                <w:szCs w:val="24"/>
              </w:rPr>
            </w:pPr>
            <w:r w:rsidRPr="00314CCC">
              <w:rPr>
                <w:rFonts w:ascii="Times New Roman" w:hAnsi="Times New Roman" w:cs="Times New Roman"/>
                <w:sz w:val="24"/>
                <w:szCs w:val="24"/>
              </w:rPr>
              <w:t xml:space="preserve">Jak wynika z przykładowego katalogu zadań/zakresów obowiązków personelu projektu prowadzenie sekretariatu Rady, może być składowym elementem zakresu zadań Animatora Rady. Nie ma natomiast możliwości utworzenia dodatkowego stanowiska w ramach kosztów bezpośrednich, wśród zadań, którego celem byłoby prowadzenie Sekretariatu Rady. </w:t>
            </w:r>
          </w:p>
          <w:p w14:paraId="2FA85998" w14:textId="327CB654" w:rsidR="006909FE" w:rsidRPr="006F1E0F" w:rsidRDefault="00314CCC" w:rsidP="00CC3E06">
            <w:pPr>
              <w:pStyle w:val="Akapitzlist"/>
              <w:spacing w:after="120" w:line="240" w:lineRule="auto"/>
              <w:ind w:left="0"/>
              <w:jc w:val="both"/>
              <w:rPr>
                <w:rFonts w:ascii="Times New Roman" w:hAnsi="Times New Roman"/>
                <w:sz w:val="24"/>
                <w:szCs w:val="24"/>
              </w:rPr>
            </w:pPr>
            <w:r w:rsidRPr="00314CCC">
              <w:rPr>
                <w:rFonts w:ascii="Times New Roman" w:hAnsi="Times New Roman"/>
                <w:sz w:val="24"/>
                <w:szCs w:val="24"/>
              </w:rPr>
              <w:t>Zwracamy również uwagę, na możliwość finansowania kosztów związanych z prowadzeniem Sekretariatu Rady z kosztów pośrednich.</w:t>
            </w:r>
          </w:p>
        </w:tc>
      </w:tr>
    </w:tbl>
    <w:p w14:paraId="5B707EA4" w14:textId="77777777" w:rsidR="006909FE" w:rsidRPr="006F1E0F" w:rsidRDefault="006909FE" w:rsidP="006F1E0F">
      <w:pPr>
        <w:spacing w:before="60" w:after="6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352"/>
      </w:tblGrid>
      <w:tr w:rsidR="00314CCC" w:rsidRPr="006F1E0F" w14:paraId="526945AA" w14:textId="77777777" w:rsidTr="004658C1">
        <w:trPr>
          <w:cantSplit/>
          <w:trHeight w:val="422"/>
        </w:trPr>
        <w:tc>
          <w:tcPr>
            <w:tcW w:w="1708" w:type="dxa"/>
            <w:vMerge w:val="restart"/>
          </w:tcPr>
          <w:p w14:paraId="5F505646" w14:textId="1BD82551" w:rsidR="00314CCC"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16</w:t>
            </w:r>
          </w:p>
          <w:p w14:paraId="05B72EC7" w14:textId="280AB33E" w:rsidR="00314CCC" w:rsidRPr="006F1E0F"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2" w:type="dxa"/>
          </w:tcPr>
          <w:p w14:paraId="5F8A298F" w14:textId="4C0B679F" w:rsidR="00314CCC" w:rsidRPr="00314CCC" w:rsidRDefault="00314CCC" w:rsidP="00314CCC">
            <w:pPr>
              <w:jc w:val="both"/>
              <w:rPr>
                <w:rFonts w:ascii="Times New Roman" w:hAnsi="Times New Roman"/>
                <w:sz w:val="24"/>
                <w:szCs w:val="24"/>
              </w:rPr>
            </w:pPr>
            <w:r w:rsidRPr="00874BC0">
              <w:t>Czy kosztem kwalifikowanym bezpośrednim może być tylko podstrona internetowa, czy także opracowanie i prowadzenie samodzielnej strony SRK?</w:t>
            </w:r>
          </w:p>
        </w:tc>
      </w:tr>
      <w:tr w:rsidR="00302D79" w:rsidRPr="006F1E0F" w14:paraId="53D1D5BA" w14:textId="77777777" w:rsidTr="004658C1">
        <w:trPr>
          <w:cantSplit/>
          <w:trHeight w:val="1265"/>
        </w:trPr>
        <w:tc>
          <w:tcPr>
            <w:tcW w:w="1708" w:type="dxa"/>
            <w:vMerge/>
          </w:tcPr>
          <w:p w14:paraId="2BA2681F" w14:textId="77777777" w:rsidR="00302D79" w:rsidRPr="006F1E0F" w:rsidRDefault="00302D79" w:rsidP="006F1E0F">
            <w:pPr>
              <w:spacing w:before="60" w:after="60" w:line="240" w:lineRule="auto"/>
              <w:jc w:val="both"/>
              <w:rPr>
                <w:rFonts w:ascii="Times New Roman" w:hAnsi="Times New Roman" w:cs="Times New Roman"/>
                <w:sz w:val="24"/>
                <w:szCs w:val="24"/>
              </w:rPr>
            </w:pPr>
          </w:p>
        </w:tc>
        <w:tc>
          <w:tcPr>
            <w:tcW w:w="7352" w:type="dxa"/>
          </w:tcPr>
          <w:p w14:paraId="51FC4422" w14:textId="77777777" w:rsidR="00314CCC" w:rsidRPr="00314CCC" w:rsidRDefault="00314CCC" w:rsidP="00314CCC">
            <w:pPr>
              <w:jc w:val="both"/>
              <w:rPr>
                <w:rFonts w:ascii="Times New Roman" w:hAnsi="Times New Roman"/>
                <w:sz w:val="24"/>
                <w:szCs w:val="24"/>
              </w:rPr>
            </w:pPr>
            <w:r w:rsidRPr="00314CCC">
              <w:rPr>
                <w:rFonts w:ascii="Times New Roman" w:hAnsi="Times New Roman"/>
                <w:sz w:val="24"/>
                <w:szCs w:val="24"/>
              </w:rPr>
              <w:t xml:space="preserve">Zgodnie z przykładowym katalogiem zadań/zakresów obowiązków personelu projektu w ramach kosztów bezpośrednich mogą zostać rozliczane jedynie koszty związane z utworzeniem i prowadzeniem podstrony internetowej Sektorowej Rady ds. Kompetencji, która będzie częścią głównej strony internetowej Beneficjenta/Partnera. Zgodnie z założeniem konkursu Sektorowa Rada ds. Kompetencji powinna funkcjonować również po okresie realizacji projektu, w </w:t>
            </w:r>
            <w:proofErr w:type="gramStart"/>
            <w:r w:rsidRPr="00314CCC">
              <w:rPr>
                <w:rFonts w:ascii="Times New Roman" w:hAnsi="Times New Roman"/>
                <w:sz w:val="24"/>
                <w:szCs w:val="24"/>
              </w:rPr>
              <w:t>związku z czym</w:t>
            </w:r>
            <w:proofErr w:type="gramEnd"/>
            <w:r w:rsidRPr="00314CCC">
              <w:rPr>
                <w:rFonts w:ascii="Times New Roman" w:hAnsi="Times New Roman"/>
                <w:sz w:val="24"/>
                <w:szCs w:val="24"/>
              </w:rPr>
              <w:t xml:space="preserve">, aby zapewnić trwałość realizacji projektu, również w zakresie funkcjonowania strony internetowej Rady, wymaga się, aby stanowiła ona część strony prowadzonej w ramach podstawowej działalności Wnioskodawcy/Partnera. </w:t>
            </w:r>
          </w:p>
          <w:p w14:paraId="5D4C5125" w14:textId="7656FA1D" w:rsidR="00D102E9" w:rsidRPr="00CB5499" w:rsidRDefault="00314CCC" w:rsidP="00314CCC">
            <w:pPr>
              <w:jc w:val="both"/>
              <w:rPr>
                <w:rFonts w:ascii="Times New Roman" w:hAnsi="Times New Roman"/>
                <w:sz w:val="24"/>
                <w:szCs w:val="24"/>
              </w:rPr>
            </w:pPr>
            <w:r w:rsidRPr="00314CCC">
              <w:rPr>
                <w:rFonts w:ascii="Times New Roman" w:hAnsi="Times New Roman"/>
                <w:sz w:val="24"/>
                <w:szCs w:val="24"/>
              </w:rPr>
              <w:t xml:space="preserve">Jednocześnie zaznaczamy, że to od Państwa zależy, na stronie </w:t>
            </w:r>
            <w:proofErr w:type="gramStart"/>
            <w:r w:rsidRPr="00314CCC">
              <w:rPr>
                <w:rFonts w:ascii="Times New Roman" w:hAnsi="Times New Roman"/>
                <w:sz w:val="24"/>
                <w:szCs w:val="24"/>
              </w:rPr>
              <w:t>internetowej którego</w:t>
            </w:r>
            <w:proofErr w:type="gramEnd"/>
            <w:r w:rsidRPr="00314CCC">
              <w:rPr>
                <w:rFonts w:ascii="Times New Roman" w:hAnsi="Times New Roman"/>
                <w:sz w:val="24"/>
                <w:szCs w:val="24"/>
              </w:rPr>
              <w:t xml:space="preserve"> podmiotu będzie funkcjonowała podstrona poświęcona Sektorowej Radzie ds. Kompetencji.  Niemniej jednak podejmując decyzję rekomendujemy, aby wziąć pod uwagę aspekt marketingowo-promocyjny strony podmiotu, na której ma powstawać podstrona Rady.</w:t>
            </w:r>
          </w:p>
        </w:tc>
      </w:tr>
      <w:tr w:rsidR="00314CCC" w:rsidRPr="006F1E0F" w14:paraId="69037FB3" w14:textId="77777777" w:rsidTr="004658C1">
        <w:trPr>
          <w:cantSplit/>
          <w:trHeight w:val="422"/>
        </w:trPr>
        <w:tc>
          <w:tcPr>
            <w:tcW w:w="1708" w:type="dxa"/>
            <w:vMerge w:val="restart"/>
            <w:shd w:val="clear" w:color="auto" w:fill="auto"/>
          </w:tcPr>
          <w:p w14:paraId="5BC8EBF3" w14:textId="4AEF443B" w:rsidR="00314CCC"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17</w:t>
            </w:r>
          </w:p>
          <w:p w14:paraId="2A30D661" w14:textId="4610AD88" w:rsidR="00314CCC" w:rsidRPr="006F1E0F"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2" w:type="dxa"/>
            <w:shd w:val="clear" w:color="auto" w:fill="auto"/>
          </w:tcPr>
          <w:p w14:paraId="62260E67" w14:textId="59BFD890" w:rsidR="00314CCC" w:rsidRPr="00314CCC" w:rsidRDefault="00314CCC" w:rsidP="00314CCC">
            <w:pPr>
              <w:rPr>
                <w:rFonts w:ascii="Times New Roman" w:hAnsi="Times New Roman"/>
                <w:sz w:val="24"/>
                <w:szCs w:val="24"/>
              </w:rPr>
            </w:pPr>
            <w:r w:rsidRPr="00314CCC">
              <w:rPr>
                <w:rFonts w:ascii="Times New Roman" w:hAnsi="Times New Roman"/>
                <w:sz w:val="24"/>
                <w:szCs w:val="24"/>
              </w:rPr>
              <w:t>Czy kosztem kwalifikowanym bezpośrednim może być koszt wynajmu/eksploatacji pomieszczeń na funkcjonowanie Sekretariatu Rady?</w:t>
            </w:r>
          </w:p>
        </w:tc>
      </w:tr>
      <w:tr w:rsidR="00832FBC" w:rsidRPr="006F1E0F" w14:paraId="35234FB0" w14:textId="77777777" w:rsidTr="004658C1">
        <w:trPr>
          <w:cantSplit/>
          <w:trHeight w:val="1265"/>
        </w:trPr>
        <w:tc>
          <w:tcPr>
            <w:tcW w:w="1708" w:type="dxa"/>
            <w:vMerge/>
            <w:shd w:val="clear" w:color="auto" w:fill="auto"/>
          </w:tcPr>
          <w:p w14:paraId="4646E0A6" w14:textId="77777777" w:rsidR="00DC197A" w:rsidRPr="006F1E0F" w:rsidRDefault="00DC197A" w:rsidP="006F1E0F">
            <w:pPr>
              <w:spacing w:before="60" w:after="60" w:line="240" w:lineRule="auto"/>
              <w:jc w:val="both"/>
              <w:rPr>
                <w:rFonts w:ascii="Times New Roman" w:hAnsi="Times New Roman" w:cs="Times New Roman"/>
                <w:sz w:val="24"/>
                <w:szCs w:val="24"/>
              </w:rPr>
            </w:pPr>
          </w:p>
        </w:tc>
        <w:tc>
          <w:tcPr>
            <w:tcW w:w="7352" w:type="dxa"/>
            <w:shd w:val="clear" w:color="auto" w:fill="auto"/>
          </w:tcPr>
          <w:p w14:paraId="28252C5A" w14:textId="77D13371" w:rsidR="00DC197A" w:rsidRPr="00CB5499" w:rsidRDefault="00314CCC" w:rsidP="00CB5499">
            <w:pPr>
              <w:spacing w:after="0" w:line="240" w:lineRule="auto"/>
              <w:jc w:val="both"/>
              <w:rPr>
                <w:color w:val="1F497D"/>
              </w:rPr>
            </w:pPr>
            <w:r w:rsidRPr="00314CCC">
              <w:rPr>
                <w:rFonts w:ascii="Times New Roman" w:hAnsi="Times New Roman" w:cs="Times New Roman"/>
                <w:sz w:val="24"/>
                <w:szCs w:val="24"/>
              </w:rPr>
              <w:t>Kwalifikowane są koszty wynajęcia powierzchni na potrzeby osób wskazanych w kosztach bezpośrednich, wykonujących działania merytoryczne. Za osobę merytoryczną nie uważa się osoby wykonującej zadania organizacyjno-techniczne związane z obsługą rady.</w:t>
            </w:r>
          </w:p>
        </w:tc>
      </w:tr>
      <w:tr w:rsidR="00832FBC" w:rsidRPr="006F1E0F" w14:paraId="6DEFF891" w14:textId="77777777" w:rsidTr="004658C1">
        <w:trPr>
          <w:cantSplit/>
          <w:trHeight w:val="422"/>
        </w:trPr>
        <w:tc>
          <w:tcPr>
            <w:tcW w:w="1708" w:type="dxa"/>
            <w:vMerge w:val="restart"/>
            <w:shd w:val="clear" w:color="auto" w:fill="auto"/>
          </w:tcPr>
          <w:p w14:paraId="794CEDE0" w14:textId="77777777" w:rsidR="00302D79" w:rsidRDefault="00450C26"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18</w:t>
            </w:r>
          </w:p>
          <w:p w14:paraId="26B4E85C" w14:textId="3DA57C19" w:rsidR="00314CCC" w:rsidRPr="006F1E0F"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2" w:type="dxa"/>
            <w:shd w:val="clear" w:color="auto" w:fill="auto"/>
          </w:tcPr>
          <w:p w14:paraId="0542C799" w14:textId="480EFAD0" w:rsidR="00302D79" w:rsidRPr="006F1E0F" w:rsidRDefault="00314CCC" w:rsidP="006F1E0F">
            <w:pPr>
              <w:spacing w:after="0" w:line="240" w:lineRule="auto"/>
              <w:jc w:val="both"/>
              <w:rPr>
                <w:rFonts w:ascii="Times New Roman" w:hAnsi="Times New Roman" w:cs="Times New Roman"/>
                <w:sz w:val="24"/>
                <w:szCs w:val="24"/>
              </w:rPr>
            </w:pPr>
            <w:r w:rsidRPr="00314CCC">
              <w:rPr>
                <w:rFonts w:ascii="Times New Roman" w:hAnsi="Times New Roman" w:cs="Times New Roman"/>
                <w:sz w:val="24"/>
                <w:szCs w:val="24"/>
              </w:rPr>
              <w:t>Jakim kosztem jest obsługa finansowa projektu/funkcjonowania Rady?</w:t>
            </w:r>
          </w:p>
        </w:tc>
      </w:tr>
      <w:tr w:rsidR="00832FBC" w:rsidRPr="006F1E0F" w14:paraId="5770C1A0" w14:textId="77777777" w:rsidTr="004658C1">
        <w:trPr>
          <w:cantSplit/>
          <w:trHeight w:val="1265"/>
        </w:trPr>
        <w:tc>
          <w:tcPr>
            <w:tcW w:w="1708" w:type="dxa"/>
            <w:vMerge/>
            <w:shd w:val="clear" w:color="auto" w:fill="auto"/>
          </w:tcPr>
          <w:p w14:paraId="2A1FD786" w14:textId="77777777" w:rsidR="00302D79" w:rsidRPr="006F1E0F" w:rsidRDefault="00302D79" w:rsidP="006F1E0F">
            <w:pPr>
              <w:spacing w:before="60" w:after="60" w:line="240" w:lineRule="auto"/>
              <w:jc w:val="both"/>
              <w:rPr>
                <w:rFonts w:ascii="Times New Roman" w:hAnsi="Times New Roman" w:cs="Times New Roman"/>
                <w:sz w:val="24"/>
                <w:szCs w:val="24"/>
              </w:rPr>
            </w:pPr>
          </w:p>
        </w:tc>
        <w:tc>
          <w:tcPr>
            <w:tcW w:w="7352" w:type="dxa"/>
            <w:shd w:val="clear" w:color="auto" w:fill="auto"/>
          </w:tcPr>
          <w:p w14:paraId="229C0B78" w14:textId="43EBE268" w:rsidR="00302D79" w:rsidRPr="006F1E0F" w:rsidRDefault="00314CCC" w:rsidP="006F1E0F">
            <w:pPr>
              <w:jc w:val="both"/>
              <w:rPr>
                <w:rFonts w:ascii="Times New Roman" w:hAnsi="Times New Roman" w:cs="Times New Roman"/>
                <w:sz w:val="24"/>
                <w:szCs w:val="24"/>
              </w:rPr>
            </w:pPr>
            <w:r w:rsidRPr="00314CCC">
              <w:rPr>
                <w:rFonts w:ascii="Times New Roman" w:hAnsi="Times New Roman" w:cs="Times New Roman"/>
                <w:sz w:val="24"/>
                <w:szCs w:val="24"/>
              </w:rPr>
              <w:t xml:space="preserve">Zgodnie z Wytycznymi w zakresie kwalifikowalności wydatków w ramach Europejskiego Funduszu Rozwoju Regionalnego, Europejskiego Funduszu Społecznego oraz Funduszu Spójności na lata 2014-2020 (Punkt 8.4 </w:t>
            </w:r>
            <w:proofErr w:type="gramStart"/>
            <w:r w:rsidRPr="00314CCC">
              <w:rPr>
                <w:rFonts w:ascii="Times New Roman" w:hAnsi="Times New Roman" w:cs="Times New Roman"/>
                <w:sz w:val="24"/>
                <w:szCs w:val="24"/>
              </w:rPr>
              <w:t>podpunkt</w:t>
            </w:r>
            <w:proofErr w:type="gramEnd"/>
            <w:r w:rsidRPr="00314CCC">
              <w:rPr>
                <w:rFonts w:ascii="Times New Roman" w:hAnsi="Times New Roman" w:cs="Times New Roman"/>
                <w:sz w:val="24"/>
                <w:szCs w:val="24"/>
              </w:rPr>
              <w:t xml:space="preserve"> 2a i 2d), koszty obsługi księgowej oraz wynagrodzenie osoby rozliczającej projekt stanowią koszty pośrednie.</w:t>
            </w:r>
          </w:p>
        </w:tc>
      </w:tr>
      <w:tr w:rsidR="00832FBC" w:rsidRPr="006F1E0F" w14:paraId="410276E0" w14:textId="77777777" w:rsidTr="004658C1">
        <w:trPr>
          <w:cantSplit/>
          <w:trHeight w:val="1265"/>
        </w:trPr>
        <w:tc>
          <w:tcPr>
            <w:tcW w:w="1708" w:type="dxa"/>
            <w:vMerge w:val="restart"/>
            <w:shd w:val="clear" w:color="auto" w:fill="auto"/>
          </w:tcPr>
          <w:p w14:paraId="78D2A07F" w14:textId="40831E94" w:rsidR="0091398F" w:rsidRDefault="00450C26"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1</w:t>
            </w:r>
            <w:r w:rsidR="00314CCC">
              <w:rPr>
                <w:rFonts w:ascii="Times New Roman" w:hAnsi="Times New Roman" w:cs="Times New Roman"/>
                <w:sz w:val="24"/>
                <w:szCs w:val="24"/>
              </w:rPr>
              <w:t>9</w:t>
            </w:r>
          </w:p>
          <w:p w14:paraId="1BC0F876" w14:textId="436418E7" w:rsidR="00314CCC" w:rsidRPr="006F1E0F" w:rsidRDefault="00314CCC" w:rsidP="00314CC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2" w:type="dxa"/>
            <w:shd w:val="clear" w:color="auto" w:fill="auto"/>
          </w:tcPr>
          <w:p w14:paraId="55087878" w14:textId="4B10286B" w:rsidR="0091398F" w:rsidRPr="006F1E0F" w:rsidRDefault="00314CCC" w:rsidP="006F1E0F">
            <w:pPr>
              <w:spacing w:after="0" w:line="240" w:lineRule="auto"/>
              <w:jc w:val="both"/>
              <w:rPr>
                <w:rFonts w:ascii="Times New Roman" w:hAnsi="Times New Roman" w:cs="Times New Roman"/>
                <w:sz w:val="24"/>
                <w:szCs w:val="24"/>
              </w:rPr>
            </w:pPr>
            <w:r w:rsidRPr="00314CCC">
              <w:rPr>
                <w:rFonts w:ascii="Times New Roman" w:hAnsi="Times New Roman" w:cs="Times New Roman"/>
                <w:sz w:val="24"/>
                <w:szCs w:val="24"/>
              </w:rPr>
              <w:t xml:space="preserve">Czy w zakresie kosztów powinniśmy się posługiwać dokumentem </w:t>
            </w:r>
            <w:proofErr w:type="spellStart"/>
            <w:r w:rsidRPr="00314CCC">
              <w:rPr>
                <w:rFonts w:ascii="Times New Roman" w:hAnsi="Times New Roman" w:cs="Times New Roman"/>
                <w:sz w:val="24"/>
                <w:szCs w:val="24"/>
              </w:rPr>
              <w:t>MIiR</w:t>
            </w:r>
            <w:proofErr w:type="spellEnd"/>
            <w:r w:rsidRPr="00314CCC">
              <w:rPr>
                <w:rFonts w:ascii="Times New Roman" w:hAnsi="Times New Roman" w:cs="Times New Roman"/>
                <w:sz w:val="24"/>
                <w:szCs w:val="24"/>
              </w:rPr>
              <w:t xml:space="preserve"> „Wytyczne w zakresie kwalifikowalności wydatków w ramach EFRR, EFS oraz FS na lata 2014-2020”, czy są może specyficzne/sprecyzowane wytyczne dla naszego projektu?</w:t>
            </w:r>
          </w:p>
        </w:tc>
      </w:tr>
      <w:tr w:rsidR="00832FBC" w:rsidRPr="006F1E0F" w14:paraId="3DE14FD0" w14:textId="77777777" w:rsidTr="004658C1">
        <w:trPr>
          <w:cantSplit/>
          <w:trHeight w:val="1265"/>
        </w:trPr>
        <w:tc>
          <w:tcPr>
            <w:tcW w:w="1708" w:type="dxa"/>
            <w:vMerge/>
            <w:shd w:val="clear" w:color="auto" w:fill="auto"/>
          </w:tcPr>
          <w:p w14:paraId="16973CB4" w14:textId="77777777" w:rsidR="0091398F" w:rsidRPr="006F1E0F" w:rsidRDefault="0091398F" w:rsidP="006F1E0F">
            <w:pPr>
              <w:spacing w:before="60" w:after="60" w:line="240" w:lineRule="auto"/>
              <w:jc w:val="both"/>
              <w:rPr>
                <w:rFonts w:ascii="Times New Roman" w:hAnsi="Times New Roman" w:cs="Times New Roman"/>
                <w:sz w:val="24"/>
                <w:szCs w:val="24"/>
              </w:rPr>
            </w:pPr>
          </w:p>
        </w:tc>
        <w:tc>
          <w:tcPr>
            <w:tcW w:w="7352" w:type="dxa"/>
            <w:shd w:val="clear" w:color="auto" w:fill="auto"/>
          </w:tcPr>
          <w:p w14:paraId="06C49052" w14:textId="7C0A7E2B" w:rsidR="00D31A3C" w:rsidRPr="006F1E0F" w:rsidRDefault="00314CCC" w:rsidP="006F1E0F">
            <w:pPr>
              <w:jc w:val="both"/>
              <w:rPr>
                <w:rFonts w:ascii="Times New Roman" w:hAnsi="Times New Roman" w:cs="Times New Roman"/>
                <w:sz w:val="24"/>
                <w:szCs w:val="24"/>
              </w:rPr>
            </w:pPr>
            <w:r w:rsidRPr="00314CCC">
              <w:rPr>
                <w:rFonts w:ascii="Times New Roman" w:hAnsi="Times New Roman" w:cs="Times New Roman"/>
                <w:sz w:val="24"/>
                <w:szCs w:val="24"/>
              </w:rPr>
              <w:t xml:space="preserve">Zgodnie z zapisami Regulaminu konkursu (Podrozdział 5.4, </w:t>
            </w:r>
            <w:proofErr w:type="gramStart"/>
            <w:r w:rsidRPr="00314CCC">
              <w:rPr>
                <w:rFonts w:ascii="Times New Roman" w:hAnsi="Times New Roman" w:cs="Times New Roman"/>
                <w:sz w:val="24"/>
                <w:szCs w:val="24"/>
              </w:rPr>
              <w:t>pkt</w:t>
            </w:r>
            <w:proofErr w:type="gramEnd"/>
            <w:r w:rsidRPr="00314CCC">
              <w:rPr>
                <w:rFonts w:ascii="Times New Roman" w:hAnsi="Times New Roman" w:cs="Times New Roman"/>
                <w:sz w:val="24"/>
                <w:szCs w:val="24"/>
              </w:rPr>
              <w:t xml:space="preserve"> 3) wydatkami kwalifikowalnymi w projekcie są wydatki spełniające warunki określone w Rozporządzeniu, umowie o dofinansowanie oraz Wytycznych Ministra Infrastruktury i Rozwoju w zakresie kwalifikowalności wydatków w ramach Europejskiego Funduszu Rozwoju Regionalnego, Europejskiego Funduszu Społecznego oraz Funduszu Spójności na lata 2014-2020. Dodatkowo należy pamiętać o stosowaniu odpowiednich stawek określonych w Załączniku nr 25 do Regulaminu konkursu (Taryfikator).</w:t>
            </w:r>
          </w:p>
        </w:tc>
      </w:tr>
      <w:tr w:rsidR="00314CCC" w:rsidRPr="006F1E0F" w14:paraId="780053B8" w14:textId="77777777" w:rsidTr="006F08B1">
        <w:trPr>
          <w:cantSplit/>
          <w:trHeight w:val="731"/>
        </w:trPr>
        <w:tc>
          <w:tcPr>
            <w:tcW w:w="1708" w:type="dxa"/>
            <w:vMerge w:val="restart"/>
            <w:shd w:val="clear" w:color="auto" w:fill="auto"/>
          </w:tcPr>
          <w:p w14:paraId="40FEF561" w14:textId="77777777" w:rsidR="00314CCC" w:rsidRDefault="00314CCC"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20</w:t>
            </w:r>
          </w:p>
          <w:p w14:paraId="10185C97" w14:textId="77777777" w:rsidR="00314CCC" w:rsidRPr="006F1E0F" w:rsidRDefault="00314CCC"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(koszty)</w:t>
            </w:r>
          </w:p>
        </w:tc>
        <w:tc>
          <w:tcPr>
            <w:tcW w:w="7352" w:type="dxa"/>
            <w:shd w:val="clear" w:color="auto" w:fill="auto"/>
          </w:tcPr>
          <w:p w14:paraId="11A4BD56" w14:textId="77777777" w:rsidR="00314CCC" w:rsidRPr="006F1E0F" w:rsidRDefault="00314CCC" w:rsidP="006F08B1">
            <w:pPr>
              <w:jc w:val="both"/>
              <w:rPr>
                <w:rFonts w:ascii="Times New Roman" w:hAnsi="Times New Roman" w:cs="Times New Roman"/>
                <w:sz w:val="24"/>
                <w:szCs w:val="24"/>
              </w:rPr>
            </w:pPr>
            <w:r w:rsidRPr="00314CCC">
              <w:rPr>
                <w:rFonts w:ascii="Times New Roman" w:hAnsi="Times New Roman" w:cs="Times New Roman"/>
                <w:sz w:val="24"/>
                <w:szCs w:val="24"/>
              </w:rPr>
              <w:t>Czy są jakieś wytyczne/</w:t>
            </w:r>
            <w:proofErr w:type="gramStart"/>
            <w:r w:rsidRPr="00314CCC">
              <w:rPr>
                <w:rFonts w:ascii="Times New Roman" w:hAnsi="Times New Roman" w:cs="Times New Roman"/>
                <w:sz w:val="24"/>
                <w:szCs w:val="24"/>
              </w:rPr>
              <w:t>oczekiwania co</w:t>
            </w:r>
            <w:proofErr w:type="gramEnd"/>
            <w:r w:rsidRPr="00314CCC">
              <w:rPr>
                <w:rFonts w:ascii="Times New Roman" w:hAnsi="Times New Roman" w:cs="Times New Roman"/>
                <w:sz w:val="24"/>
                <w:szCs w:val="24"/>
              </w:rPr>
              <w:t xml:space="preserve"> do wkładu niepieniężnego w projek</w:t>
            </w:r>
            <w:r>
              <w:rPr>
                <w:rFonts w:ascii="Times New Roman" w:hAnsi="Times New Roman" w:cs="Times New Roman"/>
                <w:sz w:val="24"/>
                <w:szCs w:val="24"/>
              </w:rPr>
              <w:t>cie</w:t>
            </w:r>
            <w:r w:rsidRPr="00314CCC">
              <w:rPr>
                <w:rFonts w:ascii="Times New Roman" w:hAnsi="Times New Roman" w:cs="Times New Roman"/>
                <w:sz w:val="24"/>
                <w:szCs w:val="24"/>
              </w:rPr>
              <w:t xml:space="preserve"> (</w:t>
            </w:r>
            <w:r>
              <w:rPr>
                <w:rFonts w:ascii="Times New Roman" w:hAnsi="Times New Roman" w:cs="Times New Roman"/>
                <w:sz w:val="24"/>
                <w:szCs w:val="24"/>
              </w:rPr>
              <w:t xml:space="preserve">6.10 </w:t>
            </w:r>
            <w:r w:rsidRPr="00314CCC">
              <w:rPr>
                <w:rFonts w:ascii="Times New Roman" w:hAnsi="Times New Roman" w:cs="Times New Roman"/>
                <w:sz w:val="24"/>
                <w:szCs w:val="24"/>
              </w:rPr>
              <w:t>Wytycznych</w:t>
            </w:r>
            <w:r>
              <w:rPr>
                <w:rFonts w:ascii="Times New Roman" w:hAnsi="Times New Roman" w:cs="Times New Roman"/>
                <w:sz w:val="24"/>
                <w:szCs w:val="24"/>
              </w:rPr>
              <w:t xml:space="preserve"> </w:t>
            </w:r>
            <w:r w:rsidRPr="00314CCC">
              <w:rPr>
                <w:rFonts w:ascii="Times New Roman" w:hAnsi="Times New Roman" w:cs="Times New Roman"/>
                <w:sz w:val="24"/>
                <w:szCs w:val="24"/>
              </w:rPr>
              <w:t>w zakresie kwalifikowalności wydatków w ramach EFRR, EFS oraz FS na lata 2014-2020)?</w:t>
            </w:r>
          </w:p>
        </w:tc>
      </w:tr>
      <w:tr w:rsidR="00314CCC" w:rsidRPr="006F1E0F" w14:paraId="7538C033" w14:textId="77777777" w:rsidTr="006F08B1">
        <w:trPr>
          <w:cantSplit/>
          <w:trHeight w:val="958"/>
        </w:trPr>
        <w:tc>
          <w:tcPr>
            <w:tcW w:w="1708" w:type="dxa"/>
            <w:vMerge/>
            <w:shd w:val="clear" w:color="auto" w:fill="auto"/>
          </w:tcPr>
          <w:p w14:paraId="3F98C4FC" w14:textId="77777777" w:rsidR="00314CCC" w:rsidRPr="006F1E0F" w:rsidRDefault="00314CCC"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62C9DD39" w14:textId="3BD110C7" w:rsidR="00314CCC" w:rsidRPr="006F1E0F" w:rsidRDefault="00314CCC" w:rsidP="00CC3E06">
            <w:pPr>
              <w:spacing w:before="100" w:beforeAutospacing="1" w:after="120"/>
              <w:jc w:val="both"/>
              <w:rPr>
                <w:rFonts w:ascii="Times New Roman" w:hAnsi="Times New Roman" w:cs="Times New Roman"/>
                <w:sz w:val="24"/>
                <w:szCs w:val="24"/>
                <w:lang w:eastAsia="pl-PL"/>
              </w:rPr>
            </w:pPr>
            <w:r w:rsidRPr="00314CCC">
              <w:rPr>
                <w:rFonts w:ascii="Times New Roman" w:hAnsi="Times New Roman" w:cs="Times New Roman"/>
                <w:sz w:val="24"/>
                <w:szCs w:val="24"/>
                <w:lang w:eastAsia="pl-PL"/>
              </w:rPr>
              <w:t xml:space="preserve">Zgodnie z zapisami Szczegółowego Opisu Osi Priorytetowych Programu Operacyjnego Wiedza Edukacja Rozwój 2014-2020 dotyczącymi Działania 2.12 Zwiększenie wiedzy o potrzebach kwalifikacyjno-zawodowych oraz zapisami Regulaminu konkursu (podrozdział 5.4), </w:t>
            </w:r>
            <w:proofErr w:type="gramStart"/>
            <w:r w:rsidRPr="00314CCC">
              <w:rPr>
                <w:rFonts w:ascii="Times New Roman" w:hAnsi="Times New Roman" w:cs="Times New Roman"/>
                <w:sz w:val="24"/>
                <w:szCs w:val="24"/>
                <w:lang w:eastAsia="pl-PL"/>
              </w:rPr>
              <w:t>maksymalny</w:t>
            </w:r>
            <w:proofErr w:type="gramEnd"/>
            <w:r w:rsidRPr="00314CCC">
              <w:rPr>
                <w:rFonts w:ascii="Times New Roman" w:hAnsi="Times New Roman" w:cs="Times New Roman"/>
                <w:sz w:val="24"/>
                <w:szCs w:val="24"/>
                <w:lang w:eastAsia="pl-PL"/>
              </w:rPr>
              <w:t xml:space="preserve"> % dopuszczalny poziom dofinansowania projektu wynosi 100% wartości wydat</w:t>
            </w:r>
            <w:r>
              <w:rPr>
                <w:rFonts w:ascii="Times New Roman" w:hAnsi="Times New Roman" w:cs="Times New Roman"/>
                <w:sz w:val="24"/>
                <w:szCs w:val="24"/>
                <w:lang w:eastAsia="pl-PL"/>
              </w:rPr>
              <w:t>ków kwalifikowalnych projektu.</w:t>
            </w:r>
          </w:p>
        </w:tc>
      </w:tr>
      <w:tr w:rsidR="00314CCC" w:rsidRPr="006F1E0F" w14:paraId="38F519B8" w14:textId="77777777" w:rsidTr="006F08B1">
        <w:trPr>
          <w:cantSplit/>
          <w:trHeight w:val="731"/>
        </w:trPr>
        <w:tc>
          <w:tcPr>
            <w:tcW w:w="1708" w:type="dxa"/>
            <w:vMerge w:val="restart"/>
            <w:shd w:val="clear" w:color="auto" w:fill="auto"/>
          </w:tcPr>
          <w:p w14:paraId="260BF442" w14:textId="77777777" w:rsidR="00314CCC" w:rsidRDefault="00314CCC"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21</w:t>
            </w:r>
          </w:p>
          <w:p w14:paraId="0D45B04D" w14:textId="33A64C89"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(SOWA)</w:t>
            </w:r>
          </w:p>
        </w:tc>
        <w:tc>
          <w:tcPr>
            <w:tcW w:w="7352" w:type="dxa"/>
            <w:shd w:val="clear" w:color="auto" w:fill="auto"/>
          </w:tcPr>
          <w:p w14:paraId="45892249" w14:textId="77777777" w:rsidR="00314CCC" w:rsidRPr="006F1E0F" w:rsidRDefault="00314CCC" w:rsidP="006F08B1">
            <w:pPr>
              <w:jc w:val="both"/>
              <w:rPr>
                <w:rFonts w:ascii="Times New Roman" w:hAnsi="Times New Roman" w:cs="Times New Roman"/>
                <w:sz w:val="24"/>
                <w:szCs w:val="24"/>
              </w:rPr>
            </w:pPr>
            <w:r w:rsidRPr="00314CCC">
              <w:rPr>
                <w:rFonts w:ascii="Times New Roman" w:hAnsi="Times New Roman" w:cs="Times New Roman"/>
                <w:sz w:val="24"/>
                <w:szCs w:val="24"/>
              </w:rPr>
              <w:t>Gdzie dołączyć w SOWA Studium wykonalności? Czy podanie źródeł, bibliografii wchodzi w limit liczby znaków w Studium Wykonalności?</w:t>
            </w:r>
          </w:p>
        </w:tc>
      </w:tr>
      <w:tr w:rsidR="00314CCC" w:rsidRPr="006F1E0F" w14:paraId="6E608B68" w14:textId="77777777" w:rsidTr="006F08B1">
        <w:trPr>
          <w:cantSplit/>
          <w:trHeight w:val="958"/>
        </w:trPr>
        <w:tc>
          <w:tcPr>
            <w:tcW w:w="1708" w:type="dxa"/>
            <w:vMerge/>
            <w:shd w:val="clear" w:color="auto" w:fill="auto"/>
          </w:tcPr>
          <w:p w14:paraId="2DE88176" w14:textId="77777777" w:rsidR="00314CCC" w:rsidRPr="006F1E0F" w:rsidRDefault="00314CCC"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4BBB48A2" w14:textId="77777777" w:rsidR="00314CCC" w:rsidRPr="00314CCC" w:rsidRDefault="00314CCC" w:rsidP="006F08B1">
            <w:pPr>
              <w:spacing w:before="100" w:beforeAutospacing="1" w:after="100" w:afterAutospacing="1"/>
              <w:jc w:val="both"/>
              <w:rPr>
                <w:rFonts w:ascii="Times New Roman" w:hAnsi="Times New Roman" w:cs="Times New Roman"/>
                <w:sz w:val="24"/>
                <w:szCs w:val="24"/>
                <w:lang w:eastAsia="pl-PL"/>
              </w:rPr>
            </w:pPr>
            <w:r w:rsidRPr="00314CCC">
              <w:rPr>
                <w:rFonts w:ascii="Times New Roman" w:hAnsi="Times New Roman" w:cs="Times New Roman"/>
                <w:sz w:val="24"/>
                <w:szCs w:val="24"/>
                <w:lang w:eastAsia="pl-PL"/>
              </w:rPr>
              <w:t>Studium wykonalności, którego wzór stanowi załącznik nr 19 do Regulaminu konkursu, należy załączyć do SOWA analogicznie jak pozostałe załączniki wymagane Regulaminem konkursu.</w:t>
            </w:r>
          </w:p>
          <w:p w14:paraId="6ADE549A" w14:textId="77777777" w:rsidR="00314CCC" w:rsidRPr="006F1E0F" w:rsidRDefault="00314CCC" w:rsidP="00CC3E06">
            <w:pPr>
              <w:spacing w:before="100" w:beforeAutospacing="1" w:after="120"/>
              <w:jc w:val="both"/>
              <w:rPr>
                <w:rFonts w:ascii="Times New Roman" w:hAnsi="Times New Roman" w:cs="Times New Roman"/>
                <w:sz w:val="24"/>
                <w:szCs w:val="24"/>
              </w:rPr>
            </w:pPr>
            <w:r w:rsidRPr="00314CCC">
              <w:rPr>
                <w:rFonts w:ascii="Times New Roman" w:hAnsi="Times New Roman" w:cs="Times New Roman"/>
                <w:sz w:val="24"/>
                <w:szCs w:val="24"/>
                <w:lang w:eastAsia="pl-PL"/>
              </w:rPr>
              <w:t>Źródła, bibliografię rekomendujemy wpisać w formie przypisów dolnych, które nie będą uwzględniane przy wyliczaniu liczby znaków.</w:t>
            </w:r>
          </w:p>
        </w:tc>
      </w:tr>
      <w:tr w:rsidR="002820F1" w:rsidRPr="006F1E0F" w14:paraId="4B25C755" w14:textId="77777777" w:rsidTr="006F08B1">
        <w:trPr>
          <w:cantSplit/>
          <w:trHeight w:val="731"/>
        </w:trPr>
        <w:tc>
          <w:tcPr>
            <w:tcW w:w="1708" w:type="dxa"/>
            <w:vMerge w:val="restart"/>
            <w:shd w:val="clear" w:color="auto" w:fill="auto"/>
          </w:tcPr>
          <w:p w14:paraId="0DD30554"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22</w:t>
            </w:r>
          </w:p>
          <w:p w14:paraId="778E6268" w14:textId="73802E05"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(wskaźniki)</w:t>
            </w:r>
          </w:p>
        </w:tc>
        <w:tc>
          <w:tcPr>
            <w:tcW w:w="7352" w:type="dxa"/>
            <w:shd w:val="clear" w:color="auto" w:fill="auto"/>
          </w:tcPr>
          <w:p w14:paraId="2C621E01" w14:textId="77777777" w:rsidR="002820F1" w:rsidRPr="006F1E0F" w:rsidRDefault="002820F1" w:rsidP="006F08B1">
            <w:pPr>
              <w:jc w:val="both"/>
              <w:rPr>
                <w:rFonts w:ascii="Times New Roman" w:hAnsi="Times New Roman" w:cs="Times New Roman"/>
                <w:sz w:val="24"/>
                <w:szCs w:val="24"/>
              </w:rPr>
            </w:pPr>
            <w:r w:rsidRPr="002820F1">
              <w:rPr>
                <w:rFonts w:ascii="Times New Roman" w:hAnsi="Times New Roman" w:cs="Times New Roman"/>
                <w:sz w:val="24"/>
                <w:szCs w:val="24"/>
              </w:rPr>
              <w:t xml:space="preserve">Czy do realizacji w projekcie jest jeden wskaźnik z Regulaminu Konkursu 4.5.1 (35 </w:t>
            </w:r>
            <w:proofErr w:type="gramStart"/>
            <w:r w:rsidRPr="002820F1">
              <w:rPr>
                <w:rFonts w:ascii="Times New Roman" w:hAnsi="Times New Roman" w:cs="Times New Roman"/>
                <w:sz w:val="24"/>
                <w:szCs w:val="24"/>
              </w:rPr>
              <w:t>przedsiębiorców</w:t>
            </w:r>
            <w:proofErr w:type="gramEnd"/>
            <w:r w:rsidRPr="002820F1">
              <w:rPr>
                <w:rFonts w:ascii="Times New Roman" w:hAnsi="Times New Roman" w:cs="Times New Roman"/>
                <w:sz w:val="24"/>
                <w:szCs w:val="24"/>
              </w:rPr>
              <w:t>)? Czy są jeszcze inne, formalnie wymagane?</w:t>
            </w:r>
          </w:p>
        </w:tc>
      </w:tr>
      <w:tr w:rsidR="002820F1" w:rsidRPr="006F1E0F" w14:paraId="6B4495B0" w14:textId="77777777" w:rsidTr="006F08B1">
        <w:trPr>
          <w:cantSplit/>
          <w:trHeight w:val="958"/>
        </w:trPr>
        <w:tc>
          <w:tcPr>
            <w:tcW w:w="1708" w:type="dxa"/>
            <w:vMerge/>
            <w:shd w:val="clear" w:color="auto" w:fill="auto"/>
          </w:tcPr>
          <w:p w14:paraId="035CDFD9"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1D0444C0" w14:textId="77777777" w:rsidR="002820F1" w:rsidRPr="002820F1" w:rsidRDefault="002820F1" w:rsidP="006F08B1">
            <w:pPr>
              <w:spacing w:before="100" w:beforeAutospacing="1" w:after="100" w:afterAutospacing="1"/>
              <w:jc w:val="both"/>
              <w:rPr>
                <w:rFonts w:ascii="Times New Roman" w:hAnsi="Times New Roman" w:cs="Times New Roman"/>
                <w:sz w:val="24"/>
                <w:szCs w:val="24"/>
                <w:lang w:eastAsia="pl-PL"/>
              </w:rPr>
            </w:pPr>
            <w:r w:rsidRPr="002820F1">
              <w:rPr>
                <w:rFonts w:ascii="Times New Roman" w:hAnsi="Times New Roman" w:cs="Times New Roman"/>
                <w:sz w:val="24"/>
                <w:szCs w:val="24"/>
                <w:lang w:eastAsia="pl-PL"/>
              </w:rPr>
              <w:t xml:space="preserve">Zgodnie z zapisami Regulaminu konkursu (Podrozdział 4.5, pkt 1) określony został tylko jeden wskaźnik </w:t>
            </w:r>
            <w:proofErr w:type="gramStart"/>
            <w:r w:rsidRPr="002820F1">
              <w:rPr>
                <w:rFonts w:ascii="Times New Roman" w:hAnsi="Times New Roman" w:cs="Times New Roman"/>
                <w:sz w:val="24"/>
                <w:szCs w:val="24"/>
                <w:lang w:eastAsia="pl-PL"/>
              </w:rPr>
              <w:t>produktu jako</w:t>
            </w:r>
            <w:proofErr w:type="gramEnd"/>
            <w:r w:rsidRPr="002820F1">
              <w:rPr>
                <w:rFonts w:ascii="Times New Roman" w:hAnsi="Times New Roman" w:cs="Times New Roman"/>
                <w:sz w:val="24"/>
                <w:szCs w:val="24"/>
                <w:lang w:eastAsia="pl-PL"/>
              </w:rPr>
              <w:t xml:space="preserve"> minimalne wymaganie. </w:t>
            </w:r>
          </w:p>
          <w:p w14:paraId="47CE4713" w14:textId="77777777" w:rsidR="002820F1" w:rsidRPr="002820F1" w:rsidRDefault="002820F1" w:rsidP="006F08B1">
            <w:pPr>
              <w:spacing w:before="100" w:beforeAutospacing="1" w:after="100" w:afterAutospacing="1"/>
              <w:jc w:val="both"/>
              <w:rPr>
                <w:rFonts w:ascii="Times New Roman" w:hAnsi="Times New Roman" w:cs="Times New Roman"/>
                <w:sz w:val="24"/>
                <w:szCs w:val="24"/>
                <w:lang w:eastAsia="pl-PL"/>
              </w:rPr>
            </w:pPr>
            <w:r w:rsidRPr="002820F1">
              <w:rPr>
                <w:rFonts w:ascii="Times New Roman" w:hAnsi="Times New Roman" w:cs="Times New Roman"/>
                <w:sz w:val="24"/>
                <w:szCs w:val="24"/>
                <w:lang w:eastAsia="pl-PL"/>
              </w:rPr>
              <w:t>Jednocześnie rekomenduje się, aby przeanalizować Studium Wykonalności, pod kątem wprowadzenia dodatkowych wskaźników projektu, gdyż z jego treści może wynikać potrzeba wprowadzenia kolejnych wskaźników, które Rada powinna monitorować. Warto tutaj zwrócić uwagę na kryterium strategiczne nr 3, które będzie oceniane na podstawie Studium wykonalności: Wskazanie i opis kamieni milowych realizacji Projektu. Zgodnie ze wzorem studium, stanowiącym załącznik nr 19 do Regulaminu konkursu, 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w:t>
            </w:r>
          </w:p>
          <w:p w14:paraId="4F898F20" w14:textId="77777777" w:rsidR="002820F1" w:rsidRPr="006F1E0F" w:rsidRDefault="002820F1" w:rsidP="00CC3E06">
            <w:pPr>
              <w:spacing w:before="100" w:beforeAutospacing="1" w:after="120"/>
              <w:jc w:val="both"/>
              <w:rPr>
                <w:rFonts w:ascii="Times New Roman" w:hAnsi="Times New Roman" w:cs="Times New Roman"/>
                <w:sz w:val="24"/>
                <w:szCs w:val="24"/>
              </w:rPr>
            </w:pPr>
            <w:r w:rsidRPr="002820F1">
              <w:rPr>
                <w:rFonts w:ascii="Times New Roman" w:hAnsi="Times New Roman" w:cs="Times New Roman"/>
                <w:sz w:val="24"/>
                <w:szCs w:val="24"/>
                <w:lang w:eastAsia="pl-PL"/>
              </w:rPr>
              <w:t xml:space="preserve">Należy podkreślić, że zgodnie z zapisami Regulaminu konkursu (Podrozdział 4.5, </w:t>
            </w:r>
            <w:proofErr w:type="gramStart"/>
            <w:r w:rsidRPr="002820F1">
              <w:rPr>
                <w:rFonts w:ascii="Times New Roman" w:hAnsi="Times New Roman" w:cs="Times New Roman"/>
                <w:sz w:val="24"/>
                <w:szCs w:val="24"/>
                <w:lang w:eastAsia="pl-PL"/>
              </w:rPr>
              <w:t>pkt</w:t>
            </w:r>
            <w:proofErr w:type="gramEnd"/>
            <w:r w:rsidRPr="002820F1">
              <w:rPr>
                <w:rFonts w:ascii="Times New Roman" w:hAnsi="Times New Roman" w:cs="Times New Roman"/>
                <w:sz w:val="24"/>
                <w:szCs w:val="24"/>
                <w:lang w:eastAsia="pl-PL"/>
              </w:rPr>
              <w:t xml:space="preserve"> 2) Wnioskodawca zobowiązany jest do monitorowania wszystkich wskazanych we wniosku o dofinansowanie oraz w Studium Wykonalności wskaźników projektu, w tym wskaźnika produktu: Liczba przedsiębiorców włączonych w identyfikację i prognozowanie potrzeb kwalifikacyjno-zawodowych na rynku pracy dzięki EFS, zgodnie z założeniami określonymi we wniosku o dofinansowanie.</w:t>
            </w:r>
          </w:p>
        </w:tc>
      </w:tr>
      <w:tr w:rsidR="002820F1" w:rsidRPr="006F1E0F" w14:paraId="7D94A210" w14:textId="77777777" w:rsidTr="006F08B1">
        <w:trPr>
          <w:cantSplit/>
          <w:trHeight w:val="731"/>
        </w:trPr>
        <w:tc>
          <w:tcPr>
            <w:tcW w:w="1708" w:type="dxa"/>
            <w:vMerge w:val="restart"/>
            <w:shd w:val="clear" w:color="auto" w:fill="auto"/>
          </w:tcPr>
          <w:p w14:paraId="17727319"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23</w:t>
            </w:r>
          </w:p>
          <w:p w14:paraId="453108E6" w14:textId="1CB65489"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(partnerstwo)</w:t>
            </w:r>
          </w:p>
        </w:tc>
        <w:tc>
          <w:tcPr>
            <w:tcW w:w="7352" w:type="dxa"/>
            <w:shd w:val="clear" w:color="auto" w:fill="auto"/>
          </w:tcPr>
          <w:p w14:paraId="052F2B16" w14:textId="77777777" w:rsidR="002820F1" w:rsidRPr="006F1E0F" w:rsidRDefault="002820F1" w:rsidP="006F08B1">
            <w:pPr>
              <w:jc w:val="both"/>
              <w:rPr>
                <w:rFonts w:ascii="Times New Roman" w:hAnsi="Times New Roman" w:cs="Times New Roman"/>
                <w:sz w:val="24"/>
                <w:szCs w:val="24"/>
              </w:rPr>
            </w:pPr>
            <w:r w:rsidRPr="002820F1">
              <w:rPr>
                <w:rFonts w:ascii="Times New Roman" w:hAnsi="Times New Roman" w:cs="Times New Roman"/>
                <w:sz w:val="24"/>
                <w:szCs w:val="24"/>
              </w:rPr>
              <w:t>Co oznacza stwierdzenie w Regulaminie: „utworzenie i zainicjowanie partnerstwa musi nastąpić przed złożeniem wniosku”? Czy ten wymóg realizuje podpisanie Umowy Współpracy pomiędzy partnerami?</w:t>
            </w:r>
          </w:p>
        </w:tc>
      </w:tr>
      <w:tr w:rsidR="002820F1" w:rsidRPr="006F1E0F" w14:paraId="6E44A5EF" w14:textId="77777777" w:rsidTr="006F08B1">
        <w:trPr>
          <w:cantSplit/>
          <w:trHeight w:val="958"/>
        </w:trPr>
        <w:tc>
          <w:tcPr>
            <w:tcW w:w="1708" w:type="dxa"/>
            <w:vMerge/>
            <w:shd w:val="clear" w:color="auto" w:fill="auto"/>
          </w:tcPr>
          <w:p w14:paraId="4A1A2D0F"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693F6BFE" w14:textId="77777777" w:rsidR="002820F1" w:rsidRPr="002820F1" w:rsidRDefault="002820F1" w:rsidP="006F08B1">
            <w:pPr>
              <w:spacing w:after="0" w:line="276" w:lineRule="auto"/>
              <w:jc w:val="both"/>
              <w:rPr>
                <w:rFonts w:ascii="Times New Roman" w:hAnsi="Times New Roman" w:cs="Times New Roman"/>
                <w:sz w:val="24"/>
                <w:szCs w:val="24"/>
              </w:rPr>
            </w:pPr>
            <w:r w:rsidRPr="002820F1">
              <w:rPr>
                <w:rFonts w:ascii="Times New Roman" w:hAnsi="Times New Roman" w:cs="Times New Roman"/>
                <w:sz w:val="24"/>
                <w:szCs w:val="24"/>
              </w:rPr>
              <w:t xml:space="preserve">Zgodnie z instrukcją wypełniania wniosku o dofinansowanie, w punkcie 4.5 </w:t>
            </w:r>
            <w:proofErr w:type="gramStart"/>
            <w:r w:rsidRPr="002820F1">
              <w:rPr>
                <w:rFonts w:ascii="Times New Roman" w:hAnsi="Times New Roman" w:cs="Times New Roman"/>
                <w:sz w:val="24"/>
                <w:szCs w:val="24"/>
              </w:rPr>
              <w:t>wniosku</w:t>
            </w:r>
            <w:proofErr w:type="gramEnd"/>
            <w:r w:rsidRPr="002820F1">
              <w:rPr>
                <w:rFonts w:ascii="Times New Roman" w:hAnsi="Times New Roman" w:cs="Times New Roman"/>
                <w:sz w:val="24"/>
                <w:szCs w:val="24"/>
              </w:rPr>
              <w:t xml:space="preserve"> należy zamieścić następujące informacje:</w:t>
            </w:r>
          </w:p>
          <w:p w14:paraId="411EDD6B" w14:textId="77777777" w:rsidR="002820F1" w:rsidRPr="002820F1" w:rsidRDefault="002820F1" w:rsidP="006F08B1">
            <w:pPr>
              <w:pStyle w:val="Akapitzlist"/>
              <w:numPr>
                <w:ilvl w:val="0"/>
                <w:numId w:val="33"/>
              </w:numPr>
              <w:spacing w:after="0"/>
              <w:jc w:val="both"/>
              <w:rPr>
                <w:rFonts w:ascii="Times New Roman" w:hAnsi="Times New Roman"/>
                <w:sz w:val="24"/>
                <w:szCs w:val="24"/>
              </w:rPr>
            </w:pPr>
            <w:proofErr w:type="gramStart"/>
            <w:r w:rsidRPr="002820F1">
              <w:rPr>
                <w:rFonts w:ascii="Times New Roman" w:hAnsi="Times New Roman"/>
                <w:sz w:val="24"/>
                <w:szCs w:val="24"/>
              </w:rPr>
              <w:t>partnerstwo</w:t>
            </w:r>
            <w:proofErr w:type="gramEnd"/>
            <w:r w:rsidRPr="002820F1">
              <w:rPr>
                <w:rFonts w:ascii="Times New Roman" w:hAnsi="Times New Roman"/>
                <w:sz w:val="24"/>
                <w:szCs w:val="24"/>
              </w:rPr>
              <w:t xml:space="preserve"> zostało utworzone albo zainicjowane w terminie zgodnym z SZOOP, tj. przed złożeniem wniosku o dofinansowanie albo przed rozpoczęciem realizacji projektu, o ile data ta jest wcześniejsza od daty złożenia wniosku o dofinansowanie; </w:t>
            </w:r>
          </w:p>
          <w:p w14:paraId="58212C29" w14:textId="77777777" w:rsidR="002820F1" w:rsidRPr="002820F1" w:rsidRDefault="002820F1" w:rsidP="006F08B1">
            <w:pPr>
              <w:pStyle w:val="Akapitzlist"/>
              <w:numPr>
                <w:ilvl w:val="0"/>
                <w:numId w:val="33"/>
              </w:numPr>
              <w:spacing w:after="0"/>
              <w:jc w:val="both"/>
              <w:rPr>
                <w:rFonts w:ascii="Times New Roman" w:hAnsi="Times New Roman"/>
                <w:sz w:val="24"/>
                <w:szCs w:val="24"/>
              </w:rPr>
            </w:pPr>
            <w:proofErr w:type="gramStart"/>
            <w:r w:rsidRPr="002820F1">
              <w:rPr>
                <w:rFonts w:ascii="Times New Roman" w:hAnsi="Times New Roman"/>
                <w:sz w:val="24"/>
                <w:szCs w:val="24"/>
              </w:rPr>
              <w:t>partner</w:t>
            </w:r>
            <w:proofErr w:type="gramEnd"/>
            <w:r w:rsidRPr="002820F1">
              <w:rPr>
                <w:rFonts w:ascii="Times New Roman" w:hAnsi="Times New Roman"/>
                <w:sz w:val="24"/>
                <w:szCs w:val="24"/>
              </w:rPr>
              <w:t xml:space="preserve"> nie podlega/partnerzy nie podlegają wykluczeniu z możliwości otrzymania dofinansowania; </w:t>
            </w:r>
          </w:p>
          <w:p w14:paraId="0BA7F604" w14:textId="77777777" w:rsidR="002820F1" w:rsidRPr="002820F1" w:rsidRDefault="002820F1" w:rsidP="006F08B1">
            <w:pPr>
              <w:pStyle w:val="Akapitzlist"/>
              <w:numPr>
                <w:ilvl w:val="0"/>
                <w:numId w:val="33"/>
              </w:numPr>
              <w:spacing w:after="0"/>
              <w:jc w:val="both"/>
              <w:rPr>
                <w:rFonts w:ascii="Times New Roman" w:hAnsi="Times New Roman"/>
                <w:sz w:val="24"/>
                <w:szCs w:val="24"/>
              </w:rPr>
            </w:pPr>
            <w:proofErr w:type="gramStart"/>
            <w:r w:rsidRPr="002820F1">
              <w:rPr>
                <w:rFonts w:ascii="Times New Roman" w:hAnsi="Times New Roman"/>
                <w:sz w:val="24"/>
                <w:szCs w:val="24"/>
              </w:rPr>
              <w:t>spełnione</w:t>
            </w:r>
            <w:proofErr w:type="gramEnd"/>
            <w:r w:rsidRPr="002820F1">
              <w:rPr>
                <w:rFonts w:ascii="Times New Roman" w:hAnsi="Times New Roman"/>
                <w:sz w:val="24"/>
                <w:szCs w:val="24"/>
              </w:rPr>
              <w:t xml:space="preserve"> zostały:</w:t>
            </w:r>
          </w:p>
          <w:p w14:paraId="4595B81E" w14:textId="77777777" w:rsidR="002820F1" w:rsidRPr="002820F1" w:rsidRDefault="002820F1" w:rsidP="006F08B1">
            <w:pPr>
              <w:pStyle w:val="Akapitzlist"/>
              <w:numPr>
                <w:ilvl w:val="0"/>
                <w:numId w:val="35"/>
              </w:numPr>
              <w:spacing w:after="0"/>
              <w:ind w:firstLine="11"/>
              <w:jc w:val="both"/>
              <w:rPr>
                <w:rFonts w:ascii="Times New Roman" w:hAnsi="Times New Roman"/>
                <w:sz w:val="24"/>
                <w:szCs w:val="24"/>
              </w:rPr>
            </w:pPr>
            <w:proofErr w:type="gramStart"/>
            <w:r w:rsidRPr="002820F1">
              <w:rPr>
                <w:rFonts w:ascii="Times New Roman" w:hAnsi="Times New Roman"/>
                <w:sz w:val="24"/>
                <w:szCs w:val="24"/>
              </w:rPr>
              <w:t>wymogi</w:t>
            </w:r>
            <w:proofErr w:type="gramEnd"/>
            <w:r w:rsidRPr="002820F1">
              <w:rPr>
                <w:rFonts w:ascii="Times New Roman" w:hAnsi="Times New Roman"/>
                <w:sz w:val="24"/>
                <w:szCs w:val="24"/>
              </w:rPr>
              <w:t xml:space="preserve"> dotyczące wyboru partnerów spoza sektora finansów publicznych, o których mowa w art. 33 ust. 2-4 ustawy (dotyczy wyłącznie przypadku wyboru partnera spoza sektora finansów publicznych przez podmiot, o którym mowa w art. 3 ust. 1 ustawy z dnia 29 stycznia 2004 r. – Prawo zamówień publicznych (Dz. U. </w:t>
            </w:r>
            <w:proofErr w:type="gramStart"/>
            <w:r w:rsidRPr="002820F1">
              <w:rPr>
                <w:rFonts w:ascii="Times New Roman" w:hAnsi="Times New Roman"/>
                <w:sz w:val="24"/>
                <w:szCs w:val="24"/>
              </w:rPr>
              <w:t>z</w:t>
            </w:r>
            <w:proofErr w:type="gramEnd"/>
            <w:r w:rsidRPr="002820F1">
              <w:rPr>
                <w:rFonts w:ascii="Times New Roman" w:hAnsi="Times New Roman"/>
                <w:sz w:val="24"/>
                <w:szCs w:val="24"/>
              </w:rPr>
              <w:t xml:space="preserve"> 2013 r. poz. 907, z </w:t>
            </w:r>
            <w:proofErr w:type="spellStart"/>
            <w:r w:rsidRPr="002820F1">
              <w:rPr>
                <w:rFonts w:ascii="Times New Roman" w:hAnsi="Times New Roman"/>
                <w:sz w:val="24"/>
                <w:szCs w:val="24"/>
              </w:rPr>
              <w:t>późn</w:t>
            </w:r>
            <w:proofErr w:type="spellEnd"/>
            <w:r w:rsidRPr="002820F1">
              <w:rPr>
                <w:rFonts w:ascii="Times New Roman" w:hAnsi="Times New Roman"/>
                <w:sz w:val="24"/>
                <w:szCs w:val="24"/>
              </w:rPr>
              <w:t xml:space="preserve">. </w:t>
            </w:r>
            <w:proofErr w:type="gramStart"/>
            <w:r w:rsidRPr="002820F1">
              <w:rPr>
                <w:rFonts w:ascii="Times New Roman" w:hAnsi="Times New Roman"/>
                <w:sz w:val="24"/>
                <w:szCs w:val="24"/>
              </w:rPr>
              <w:t>zm</w:t>
            </w:r>
            <w:proofErr w:type="gramEnd"/>
            <w:r w:rsidRPr="002820F1">
              <w:rPr>
                <w:rFonts w:ascii="Times New Roman" w:hAnsi="Times New Roman"/>
                <w:sz w:val="24"/>
                <w:szCs w:val="24"/>
              </w:rPr>
              <w:t>.), a prawdziwość tej informacji jest potwierdzana oświadczeniem wnioskodawcy zawartym w części VIII. Oświadczenia wniosku oraz przez właściwą instytucję na podstawie właściwych dokumentów źródłowych weryfikowanych przed podpisaniem umowy o dofinansowanie projektu) oraz</w:t>
            </w:r>
          </w:p>
          <w:p w14:paraId="1BC52760" w14:textId="77777777" w:rsidR="002820F1" w:rsidRPr="002820F1" w:rsidRDefault="002820F1" w:rsidP="006F08B1">
            <w:pPr>
              <w:pStyle w:val="Akapitzlist"/>
              <w:numPr>
                <w:ilvl w:val="0"/>
                <w:numId w:val="35"/>
              </w:numPr>
              <w:spacing w:after="0"/>
              <w:ind w:firstLine="11"/>
              <w:jc w:val="both"/>
              <w:rPr>
                <w:rFonts w:ascii="Times New Roman" w:hAnsi="Times New Roman"/>
                <w:sz w:val="24"/>
                <w:szCs w:val="24"/>
              </w:rPr>
            </w:pPr>
            <w:proofErr w:type="gramStart"/>
            <w:r w:rsidRPr="002820F1">
              <w:rPr>
                <w:rFonts w:ascii="Times New Roman" w:hAnsi="Times New Roman"/>
                <w:sz w:val="24"/>
                <w:szCs w:val="24"/>
              </w:rPr>
              <w:t>wymogi</w:t>
            </w:r>
            <w:proofErr w:type="gramEnd"/>
            <w:r w:rsidRPr="002820F1">
              <w:rPr>
                <w:rFonts w:ascii="Times New Roman" w:hAnsi="Times New Roman"/>
                <w:sz w:val="24"/>
                <w:szCs w:val="24"/>
              </w:rPr>
              <w:t xml:space="preserve"> dotyczące braku powiązań, o których mowa w art. 33 ust. 6 ustawy oraz w SZOOP, pomiędzy podmiotami tworzącymi partnerstwo. </w:t>
            </w:r>
          </w:p>
          <w:p w14:paraId="7584447F" w14:textId="77777777" w:rsidR="002820F1" w:rsidRPr="002820F1" w:rsidRDefault="002820F1" w:rsidP="00CC3E06">
            <w:pPr>
              <w:spacing w:after="120"/>
              <w:jc w:val="both"/>
              <w:rPr>
                <w:rFonts w:ascii="Times New Roman" w:hAnsi="Times New Roman"/>
                <w:sz w:val="24"/>
                <w:szCs w:val="24"/>
              </w:rPr>
            </w:pPr>
            <w:r w:rsidRPr="002820F1">
              <w:rPr>
                <w:rFonts w:ascii="Times New Roman" w:hAnsi="Times New Roman"/>
                <w:sz w:val="24"/>
                <w:szCs w:val="24"/>
              </w:rPr>
              <w:t xml:space="preserve">Biorąc pod uwagę powyższe zapisy oraz zapisy Regulaminu konkursu (Podrozdział 5.6), </w:t>
            </w:r>
            <w:proofErr w:type="gramStart"/>
            <w:r w:rsidRPr="002820F1">
              <w:rPr>
                <w:rFonts w:ascii="Times New Roman" w:hAnsi="Times New Roman"/>
                <w:sz w:val="24"/>
                <w:szCs w:val="24"/>
              </w:rPr>
              <w:t>a</w:t>
            </w:r>
            <w:proofErr w:type="gramEnd"/>
            <w:r w:rsidRPr="002820F1">
              <w:rPr>
                <w:rFonts w:ascii="Times New Roman" w:hAnsi="Times New Roman"/>
                <w:sz w:val="24"/>
                <w:szCs w:val="24"/>
              </w:rPr>
              <w:t xml:space="preserve"> także w celu spełnienia kryterium formalnego nr 7 część B załącznika nr 3 do Regulaminu konkursu, informacja potwierdzająca fakt utworzenia albo zainicjowania partnerstwa przed złożeniem wniosku o dofinansowanie, powinna znaleźć się w punkcie 4.5 </w:t>
            </w:r>
            <w:proofErr w:type="gramStart"/>
            <w:r w:rsidRPr="002820F1">
              <w:rPr>
                <w:rFonts w:ascii="Times New Roman" w:hAnsi="Times New Roman"/>
                <w:sz w:val="24"/>
                <w:szCs w:val="24"/>
              </w:rPr>
              <w:t>wniosku</w:t>
            </w:r>
            <w:proofErr w:type="gramEnd"/>
            <w:r w:rsidRPr="002820F1">
              <w:rPr>
                <w:rFonts w:ascii="Times New Roman" w:hAnsi="Times New Roman"/>
                <w:sz w:val="24"/>
                <w:szCs w:val="24"/>
              </w:rPr>
              <w:t xml:space="preserve">. </w:t>
            </w:r>
            <w:r>
              <w:rPr>
                <w:rFonts w:ascii="Times New Roman" w:hAnsi="Times New Roman"/>
                <w:sz w:val="24"/>
                <w:szCs w:val="24"/>
              </w:rPr>
              <w:t>Stąd</w:t>
            </w:r>
            <w:r w:rsidRPr="002820F1">
              <w:rPr>
                <w:rFonts w:ascii="Times New Roman" w:hAnsi="Times New Roman"/>
                <w:sz w:val="24"/>
                <w:szCs w:val="24"/>
              </w:rPr>
              <w:t xml:space="preserve"> na etapie składania wniosku o dofinansowanie nie ma potrzeby przedstawiać dodatkowych dokumentów potwierdzających fakt zawarcia porozumienia lub umowy o partnerstwie (umowy o współpracy), natomiast przed podpisaniem umowy o dofinansowanie PARP będzie wymagała przedstawienia takiego dokumentu, ponieważ jest o nim mowa we wzorze umowy o dofinansowanie projektu stanowiącym Załącznik 22 do Regulaminu konkursu.</w:t>
            </w:r>
          </w:p>
        </w:tc>
      </w:tr>
      <w:tr w:rsidR="002820F1" w:rsidRPr="006F1E0F" w14:paraId="7BE8B761" w14:textId="77777777" w:rsidTr="006F08B1">
        <w:trPr>
          <w:cantSplit/>
          <w:trHeight w:val="731"/>
        </w:trPr>
        <w:tc>
          <w:tcPr>
            <w:tcW w:w="1708" w:type="dxa"/>
            <w:vMerge w:val="restart"/>
            <w:shd w:val="clear" w:color="auto" w:fill="auto"/>
          </w:tcPr>
          <w:p w14:paraId="19D5C611"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24</w:t>
            </w:r>
          </w:p>
          <w:p w14:paraId="766CFFDB" w14:textId="391C39CA"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(sektor)</w:t>
            </w:r>
          </w:p>
        </w:tc>
        <w:tc>
          <w:tcPr>
            <w:tcW w:w="7352" w:type="dxa"/>
            <w:shd w:val="clear" w:color="auto" w:fill="auto"/>
          </w:tcPr>
          <w:p w14:paraId="4EA06FAA" w14:textId="77777777" w:rsidR="002820F1" w:rsidRPr="006F1E0F" w:rsidRDefault="002820F1" w:rsidP="006F08B1">
            <w:pPr>
              <w:jc w:val="both"/>
              <w:rPr>
                <w:rFonts w:ascii="Times New Roman" w:hAnsi="Times New Roman" w:cs="Times New Roman"/>
                <w:sz w:val="24"/>
                <w:szCs w:val="24"/>
              </w:rPr>
            </w:pPr>
            <w:r w:rsidRPr="002820F1">
              <w:rPr>
                <w:rFonts w:ascii="Times New Roman" w:hAnsi="Times New Roman" w:cs="Times New Roman"/>
                <w:sz w:val="24"/>
                <w:szCs w:val="24"/>
              </w:rPr>
              <w:t>Prosimy o doprecyzowanie definicji sektora finansowego. Czy w budowaniu reprezentacji sektora obowiązuje nas klasyfikacja PKD, sekcja K: finansowa i ubezpieczeniowa, czy jest to dla wniosku ograniczone/doprecyzowane. Chodzi np. o to czy w Radzie w składzie przedstawianym do wniosku powinny być np. firmy z rynku kapitałowego, firmy pożyczkowe.</w:t>
            </w:r>
          </w:p>
        </w:tc>
      </w:tr>
      <w:tr w:rsidR="002820F1" w:rsidRPr="006F1E0F" w14:paraId="62C6F1BF" w14:textId="77777777" w:rsidTr="006F08B1">
        <w:trPr>
          <w:cantSplit/>
          <w:trHeight w:val="958"/>
        </w:trPr>
        <w:tc>
          <w:tcPr>
            <w:tcW w:w="1708" w:type="dxa"/>
            <w:vMerge/>
            <w:shd w:val="clear" w:color="auto" w:fill="auto"/>
          </w:tcPr>
          <w:p w14:paraId="29CFF049"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2941F7AA" w14:textId="77777777" w:rsidR="002820F1" w:rsidRPr="002820F1" w:rsidRDefault="002820F1" w:rsidP="002F7AC1">
            <w:pPr>
              <w:spacing w:after="120"/>
              <w:jc w:val="both"/>
              <w:rPr>
                <w:rFonts w:ascii="Times New Roman" w:hAnsi="Times New Roman"/>
                <w:sz w:val="24"/>
                <w:szCs w:val="24"/>
              </w:rPr>
            </w:pPr>
            <w:r w:rsidRPr="002820F1">
              <w:rPr>
                <w:rFonts w:ascii="Times New Roman" w:hAnsi="Times New Roman" w:cs="Times New Roman"/>
                <w:sz w:val="24"/>
                <w:szCs w:val="24"/>
              </w:rPr>
              <w:t xml:space="preserve">Podczas „budowania reprezentacji sektora” obowiązują Państwa zapisy dokumentacji konkursowej, która wskazuje podział sektorów według Polskiej Klasyfikacji Działalności. W związku z tym, działaniami Rady danego Sektora należy objąć przedsiębiorstwa funkcjonujące w ramach danej sekcji PKD. Jeśli z przeprowadzonych analiz/badań oraz doświadczenia Wnioskodawcy i </w:t>
            </w:r>
            <w:proofErr w:type="gramStart"/>
            <w:r w:rsidRPr="002820F1">
              <w:rPr>
                <w:rFonts w:ascii="Times New Roman" w:hAnsi="Times New Roman" w:cs="Times New Roman"/>
                <w:sz w:val="24"/>
                <w:szCs w:val="24"/>
              </w:rPr>
              <w:t>Partnerów (jeśli</w:t>
            </w:r>
            <w:proofErr w:type="gramEnd"/>
            <w:r w:rsidRPr="002820F1">
              <w:rPr>
                <w:rFonts w:ascii="Times New Roman" w:hAnsi="Times New Roman" w:cs="Times New Roman"/>
                <w:sz w:val="24"/>
                <w:szCs w:val="24"/>
              </w:rPr>
              <w:t xml:space="preserve"> dotyczy) wynika, że dany sektor swoją działalnością obejmuje również inne sekcje PKD, wówczas działania Rady powinny być skierowane do szerszej grupy odbiorców.  Z punktu widzenia Regulaminu konkursu nie ma przeciwwskazań, aby działania Sektorowej Rady ds. Kompetencji poszerzyć, przy założeniu, że wyliczona alokacja na nie pozwoli.</w:t>
            </w:r>
          </w:p>
        </w:tc>
      </w:tr>
      <w:tr w:rsidR="002820F1" w:rsidRPr="006F1E0F" w14:paraId="425A2CFC" w14:textId="77777777" w:rsidTr="006F08B1">
        <w:trPr>
          <w:cantSplit/>
          <w:trHeight w:val="731"/>
        </w:trPr>
        <w:tc>
          <w:tcPr>
            <w:tcW w:w="1708" w:type="dxa"/>
            <w:vMerge w:val="restart"/>
            <w:shd w:val="clear" w:color="auto" w:fill="auto"/>
          </w:tcPr>
          <w:p w14:paraId="0AE1DC65"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25</w:t>
            </w:r>
          </w:p>
          <w:p w14:paraId="4B9A2B1D" w14:textId="15D0B249"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(oświadczenia)</w:t>
            </w:r>
          </w:p>
        </w:tc>
        <w:tc>
          <w:tcPr>
            <w:tcW w:w="7352" w:type="dxa"/>
            <w:shd w:val="clear" w:color="auto" w:fill="auto"/>
          </w:tcPr>
          <w:p w14:paraId="7474DD49" w14:textId="77777777" w:rsidR="002820F1" w:rsidRPr="006F1E0F" w:rsidRDefault="002820F1" w:rsidP="006F08B1">
            <w:pPr>
              <w:jc w:val="both"/>
              <w:rPr>
                <w:rFonts w:ascii="Times New Roman" w:hAnsi="Times New Roman" w:cs="Times New Roman"/>
                <w:sz w:val="24"/>
                <w:szCs w:val="24"/>
              </w:rPr>
            </w:pPr>
            <w:r w:rsidRPr="002820F1">
              <w:rPr>
                <w:rFonts w:ascii="Times New Roman" w:hAnsi="Times New Roman" w:cs="Times New Roman"/>
                <w:sz w:val="24"/>
                <w:szCs w:val="24"/>
              </w:rPr>
              <w:t>Czy wymagane w Regulaminie oświadczenia każdy z partnerów, wchodzących w skład partnerstwa podpisuje osobno, czy podpisuje je partner wiodący upełnomocniony w pełnomocnictwie?</w:t>
            </w:r>
          </w:p>
        </w:tc>
      </w:tr>
      <w:tr w:rsidR="002820F1" w:rsidRPr="006F1E0F" w14:paraId="1C1D0BA3" w14:textId="77777777" w:rsidTr="006F08B1">
        <w:trPr>
          <w:cantSplit/>
          <w:trHeight w:val="958"/>
        </w:trPr>
        <w:tc>
          <w:tcPr>
            <w:tcW w:w="1708" w:type="dxa"/>
            <w:vMerge/>
            <w:shd w:val="clear" w:color="auto" w:fill="auto"/>
          </w:tcPr>
          <w:p w14:paraId="187C95F1"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7E910295" w14:textId="77777777" w:rsidR="002820F1" w:rsidRPr="002820F1" w:rsidRDefault="002820F1" w:rsidP="00CC3E06">
            <w:pPr>
              <w:spacing w:after="120"/>
              <w:jc w:val="both"/>
              <w:rPr>
                <w:rFonts w:ascii="Times New Roman" w:hAnsi="Times New Roman"/>
                <w:sz w:val="24"/>
                <w:szCs w:val="24"/>
              </w:rPr>
            </w:pPr>
            <w:r w:rsidRPr="002820F1">
              <w:rPr>
                <w:rFonts w:ascii="Times New Roman" w:hAnsi="Times New Roman" w:cs="Times New Roman"/>
                <w:sz w:val="24"/>
                <w:szCs w:val="24"/>
              </w:rPr>
              <w:t xml:space="preserve">Zgodnie z zapisami dokumentacji konkursowej, każdy załącznik podpisywany jest czytelnie przez osobę upoważnionej do reprezentowania Wnioskodawcy i </w:t>
            </w:r>
            <w:proofErr w:type="gramStart"/>
            <w:r w:rsidRPr="002820F1">
              <w:rPr>
                <w:rFonts w:ascii="Times New Roman" w:hAnsi="Times New Roman" w:cs="Times New Roman"/>
                <w:sz w:val="24"/>
                <w:szCs w:val="24"/>
              </w:rPr>
              <w:t>Partnerów (jeśli</w:t>
            </w:r>
            <w:proofErr w:type="gramEnd"/>
            <w:r w:rsidRPr="002820F1">
              <w:rPr>
                <w:rFonts w:ascii="Times New Roman" w:hAnsi="Times New Roman" w:cs="Times New Roman"/>
                <w:sz w:val="24"/>
                <w:szCs w:val="24"/>
              </w:rPr>
              <w:t xml:space="preserve"> dotyczy). Istnieje możliwość powołania pełnomocnika, który podpisze oświadczenia w imieniu Partnerów. W takim przypadku do wniosku należy również załączyć pełnomocnictwo od pozostałych Partnerów.</w:t>
            </w:r>
          </w:p>
        </w:tc>
      </w:tr>
      <w:tr w:rsidR="002820F1" w:rsidRPr="006F1E0F" w14:paraId="51599750" w14:textId="77777777" w:rsidTr="006F08B1">
        <w:trPr>
          <w:cantSplit/>
          <w:trHeight w:val="731"/>
        </w:trPr>
        <w:tc>
          <w:tcPr>
            <w:tcW w:w="1708" w:type="dxa"/>
            <w:vMerge w:val="restart"/>
            <w:shd w:val="clear" w:color="auto" w:fill="auto"/>
          </w:tcPr>
          <w:p w14:paraId="025458B7"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26</w:t>
            </w:r>
          </w:p>
          <w:p w14:paraId="72E29DD7" w14:textId="78DC0ED0"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(oświadczenia)</w:t>
            </w:r>
          </w:p>
        </w:tc>
        <w:tc>
          <w:tcPr>
            <w:tcW w:w="7352" w:type="dxa"/>
            <w:shd w:val="clear" w:color="auto" w:fill="auto"/>
          </w:tcPr>
          <w:p w14:paraId="7ACE2475" w14:textId="77777777" w:rsidR="002820F1" w:rsidRPr="006F1E0F" w:rsidRDefault="002820F1" w:rsidP="006F08B1">
            <w:pPr>
              <w:jc w:val="both"/>
              <w:rPr>
                <w:rFonts w:ascii="Times New Roman" w:hAnsi="Times New Roman" w:cs="Times New Roman"/>
                <w:sz w:val="24"/>
                <w:szCs w:val="24"/>
              </w:rPr>
            </w:pPr>
            <w:r>
              <w:rPr>
                <w:rFonts w:ascii="Times New Roman" w:hAnsi="Times New Roman" w:cs="Times New Roman"/>
                <w:sz w:val="24"/>
                <w:szCs w:val="24"/>
              </w:rPr>
              <w:t>W</w:t>
            </w:r>
            <w:r w:rsidRPr="002820F1">
              <w:rPr>
                <w:rFonts w:ascii="Times New Roman" w:hAnsi="Times New Roman" w:cs="Times New Roman"/>
                <w:sz w:val="24"/>
                <w:szCs w:val="24"/>
              </w:rPr>
              <w:t xml:space="preserve"> oświadczeniu o doświadczeniu w realizacji działań na rzecz dostosowania systemu edukacji do potrzeb rynku pracy wymaga się oświadczeń podmiotów zewnętrznych, potwierdzające te doświadczenia (to oświadczenie pokrywa się z wymaganiami zawartymi w oświadczeniu, dotyczącym zrealizowanych przedsięwzięć przedsiębiorców sektora w obszarze współpracy z edukacją formalną bądź pozaformalną). W przypadku organizacji zrzeszającej pracodawców oznaczałoby to wystąpienia do podmiotów zrzeszanych. Czy zamiast oświadczeń instytucji zewnętrznych zaakceptowane zostaną inne dokumenty, potwierdzające takie działania (np. Regulamin Systemu Standardów Kwalifikacyjnych w Bankowości Polskiej, prowadzony przez Związek Banków Polskich) W przypadku oświadczenia o zrealizowaniu projektów, czy można posłużyć się istniejącymi dokumentami, np. umowa, faktura, list referencyjny na zakończenie projektu. Czy potwierdzeniem tego doświadczenia mogą być listy intencyjne od wyższych uczelni? Czy będą akceptowane oświadczenia firm, które stanowią partnerów przy</w:t>
            </w:r>
            <w:r>
              <w:rPr>
                <w:rFonts w:ascii="Times New Roman" w:hAnsi="Times New Roman" w:cs="Times New Roman"/>
                <w:sz w:val="24"/>
                <w:szCs w:val="24"/>
              </w:rPr>
              <w:t>stępujących wspólnie do wniosku?</w:t>
            </w:r>
          </w:p>
        </w:tc>
      </w:tr>
      <w:tr w:rsidR="002820F1" w:rsidRPr="006F1E0F" w14:paraId="15598E94" w14:textId="77777777" w:rsidTr="006F08B1">
        <w:trPr>
          <w:cantSplit/>
          <w:trHeight w:val="958"/>
        </w:trPr>
        <w:tc>
          <w:tcPr>
            <w:tcW w:w="1708" w:type="dxa"/>
            <w:vMerge/>
            <w:shd w:val="clear" w:color="auto" w:fill="auto"/>
          </w:tcPr>
          <w:p w14:paraId="750EA6CF"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4E224FBB" w14:textId="77777777" w:rsidR="002820F1" w:rsidRPr="002820F1" w:rsidRDefault="002820F1" w:rsidP="00C470F3">
            <w:pPr>
              <w:spacing w:after="120"/>
              <w:jc w:val="both"/>
              <w:rPr>
                <w:rFonts w:ascii="Times New Roman" w:hAnsi="Times New Roman"/>
                <w:sz w:val="24"/>
                <w:szCs w:val="24"/>
              </w:rPr>
            </w:pPr>
            <w:r w:rsidRPr="002820F1">
              <w:rPr>
                <w:rFonts w:ascii="Times New Roman" w:hAnsi="Times New Roman" w:cs="Times New Roman"/>
                <w:sz w:val="24"/>
                <w:szCs w:val="24"/>
              </w:rPr>
              <w:t xml:space="preserve">Zgodnie z zapisami dokumentacji konkursowej, potwierdzeniem informacji zawartych w oświadczeniach Wnioskodawcy i </w:t>
            </w:r>
            <w:proofErr w:type="gramStart"/>
            <w:r w:rsidRPr="002820F1">
              <w:rPr>
                <w:rFonts w:ascii="Times New Roman" w:hAnsi="Times New Roman" w:cs="Times New Roman"/>
                <w:sz w:val="24"/>
                <w:szCs w:val="24"/>
              </w:rPr>
              <w:t>Partnerów (jeśli</w:t>
            </w:r>
            <w:proofErr w:type="gramEnd"/>
            <w:r w:rsidRPr="002820F1">
              <w:rPr>
                <w:rFonts w:ascii="Times New Roman" w:hAnsi="Times New Roman" w:cs="Times New Roman"/>
                <w:sz w:val="24"/>
                <w:szCs w:val="24"/>
              </w:rPr>
              <w:t xml:space="preserve"> dotyczy) są zaświadczenia podmiotów zewnętrznych potwierdzające doświadczenie wymagane w ramach danego kryterium. Jeśli Wnioskodawca lub </w:t>
            </w:r>
            <w:proofErr w:type="gramStart"/>
            <w:r w:rsidRPr="002820F1">
              <w:rPr>
                <w:rFonts w:ascii="Times New Roman" w:hAnsi="Times New Roman" w:cs="Times New Roman"/>
                <w:sz w:val="24"/>
                <w:szCs w:val="24"/>
              </w:rPr>
              <w:t>Partner (jeśli</w:t>
            </w:r>
            <w:proofErr w:type="gramEnd"/>
            <w:r w:rsidRPr="002820F1">
              <w:rPr>
                <w:rFonts w:ascii="Times New Roman" w:hAnsi="Times New Roman" w:cs="Times New Roman"/>
                <w:sz w:val="24"/>
                <w:szCs w:val="24"/>
              </w:rPr>
              <w:t xml:space="preserve"> dotyczy) posiada listy referencyjne wystawione po zakończeniu realizacji danego projektu, taki dokument będzie dokumentem zewnętrznym potwierdzającym doświadczenie w ramach danego kryterium, natomiast inne dokumenty, tj. faktury, umowy, regulaminy, statuty, nie będą uznawane jako potwierdzające. Jednocześnie należy zwrócić uwagę, aby zaświadczenia podmiotów zewnętrznych potwierdzały wszystkie informacje wymagane w danym kryterium.</w:t>
            </w:r>
          </w:p>
        </w:tc>
      </w:tr>
      <w:tr w:rsidR="002820F1" w:rsidRPr="006F1E0F" w14:paraId="1EB2F727" w14:textId="77777777" w:rsidTr="006F08B1">
        <w:trPr>
          <w:cantSplit/>
          <w:trHeight w:val="731"/>
        </w:trPr>
        <w:tc>
          <w:tcPr>
            <w:tcW w:w="1708" w:type="dxa"/>
            <w:vMerge w:val="restart"/>
            <w:shd w:val="clear" w:color="auto" w:fill="auto"/>
          </w:tcPr>
          <w:p w14:paraId="041629A2" w14:textId="77777777" w:rsidR="002820F1" w:rsidRDefault="002820F1"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Pytanie 27</w:t>
            </w:r>
          </w:p>
          <w:p w14:paraId="4BEC6687" w14:textId="1F51F40A" w:rsidR="00E215EB" w:rsidRPr="006F1E0F" w:rsidRDefault="00E215EB" w:rsidP="006F08B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(studium wykonalności)</w:t>
            </w:r>
          </w:p>
        </w:tc>
        <w:tc>
          <w:tcPr>
            <w:tcW w:w="7352" w:type="dxa"/>
            <w:shd w:val="clear" w:color="auto" w:fill="auto"/>
          </w:tcPr>
          <w:p w14:paraId="47262DAC" w14:textId="77777777" w:rsidR="002820F1" w:rsidRPr="006F1E0F" w:rsidRDefault="002820F1" w:rsidP="006F08B1">
            <w:pPr>
              <w:jc w:val="both"/>
              <w:rPr>
                <w:rFonts w:ascii="Times New Roman" w:hAnsi="Times New Roman" w:cs="Times New Roman"/>
                <w:sz w:val="24"/>
                <w:szCs w:val="24"/>
              </w:rPr>
            </w:pPr>
            <w:r w:rsidRPr="002820F1">
              <w:rPr>
                <w:rFonts w:ascii="Times New Roman" w:hAnsi="Times New Roman" w:cs="Times New Roman"/>
                <w:sz w:val="24"/>
                <w:szCs w:val="24"/>
              </w:rPr>
              <w:t xml:space="preserve">Wymieniony w Studium Wykonalności przykład dobrych praktyk jest odesłaniem do linku, który przekierowuje do ogólnej strony PES. Czy mogą Państwo to ukierunkowanie doprecyzować: „Przykładem takich rozwiązań mogą być działania podejmowane w ramach inicjatywy PES to PES </w:t>
            </w:r>
            <w:proofErr w:type="spellStart"/>
            <w:r w:rsidRPr="002820F1">
              <w:rPr>
                <w:rFonts w:ascii="Times New Roman" w:hAnsi="Times New Roman" w:cs="Times New Roman"/>
                <w:sz w:val="24"/>
                <w:szCs w:val="24"/>
              </w:rPr>
              <w:t>Dialogue</w:t>
            </w:r>
            <w:proofErr w:type="spellEnd"/>
            <w:r w:rsidRPr="002820F1">
              <w:rPr>
                <w:rFonts w:ascii="Times New Roman" w:hAnsi="Times New Roman" w:cs="Times New Roman"/>
                <w:sz w:val="24"/>
                <w:szCs w:val="24"/>
              </w:rPr>
              <w:t xml:space="preserve"> (</w:t>
            </w:r>
            <w:hyperlink r:id="rId8" w:history="1">
              <w:r w:rsidRPr="00282B9E">
                <w:rPr>
                  <w:rStyle w:val="Hipercze"/>
                  <w:rFonts w:ascii="Times New Roman" w:hAnsi="Times New Roman" w:cs="Times New Roman"/>
                  <w:sz w:val="24"/>
                  <w:szCs w:val="24"/>
                </w:rPr>
                <w:t>http://ec.europa.eu/social/main.jsp?catId=964</w:t>
              </w:r>
            </w:hyperlink>
            <w:r w:rsidRPr="002820F1">
              <w:rPr>
                <w:rFonts w:ascii="Times New Roman" w:hAnsi="Times New Roman" w:cs="Times New Roman"/>
                <w:sz w:val="24"/>
                <w:szCs w:val="24"/>
              </w:rPr>
              <w:t xml:space="preserve">), Odwołanie się do PES to PES </w:t>
            </w:r>
            <w:proofErr w:type="spellStart"/>
            <w:r w:rsidRPr="002820F1">
              <w:rPr>
                <w:rFonts w:ascii="Times New Roman" w:hAnsi="Times New Roman" w:cs="Times New Roman"/>
                <w:sz w:val="24"/>
                <w:szCs w:val="24"/>
              </w:rPr>
              <w:t>Dialogue</w:t>
            </w:r>
            <w:proofErr w:type="spellEnd"/>
            <w:r w:rsidRPr="002820F1">
              <w:rPr>
                <w:rFonts w:ascii="Times New Roman" w:hAnsi="Times New Roman" w:cs="Times New Roman"/>
                <w:sz w:val="24"/>
                <w:szCs w:val="24"/>
              </w:rPr>
              <w:t>?”</w:t>
            </w:r>
          </w:p>
        </w:tc>
      </w:tr>
      <w:tr w:rsidR="002820F1" w:rsidRPr="006F1E0F" w14:paraId="0D48A773" w14:textId="77777777" w:rsidTr="006F08B1">
        <w:trPr>
          <w:cantSplit/>
          <w:trHeight w:val="958"/>
        </w:trPr>
        <w:tc>
          <w:tcPr>
            <w:tcW w:w="1708" w:type="dxa"/>
            <w:vMerge/>
            <w:shd w:val="clear" w:color="auto" w:fill="auto"/>
          </w:tcPr>
          <w:p w14:paraId="52C05A93" w14:textId="77777777" w:rsidR="002820F1" w:rsidRPr="006F1E0F" w:rsidRDefault="002820F1" w:rsidP="006F08B1">
            <w:pPr>
              <w:spacing w:before="60" w:after="60" w:line="240" w:lineRule="auto"/>
              <w:jc w:val="both"/>
              <w:rPr>
                <w:rFonts w:ascii="Times New Roman" w:hAnsi="Times New Roman" w:cs="Times New Roman"/>
                <w:sz w:val="24"/>
                <w:szCs w:val="24"/>
              </w:rPr>
            </w:pPr>
          </w:p>
        </w:tc>
        <w:tc>
          <w:tcPr>
            <w:tcW w:w="7352" w:type="dxa"/>
            <w:shd w:val="clear" w:color="auto" w:fill="auto"/>
          </w:tcPr>
          <w:p w14:paraId="385F9737" w14:textId="77777777" w:rsidR="002820F1" w:rsidRPr="002820F1" w:rsidRDefault="002820F1" w:rsidP="006F08B1">
            <w:pPr>
              <w:spacing w:after="0"/>
              <w:jc w:val="both"/>
              <w:rPr>
                <w:rFonts w:ascii="Times New Roman" w:hAnsi="Times New Roman" w:cs="Times New Roman"/>
                <w:sz w:val="24"/>
                <w:szCs w:val="24"/>
              </w:rPr>
            </w:pPr>
            <w:r w:rsidRPr="002820F1">
              <w:rPr>
                <w:rFonts w:ascii="Times New Roman" w:hAnsi="Times New Roman" w:cs="Times New Roman"/>
                <w:sz w:val="24"/>
                <w:szCs w:val="24"/>
              </w:rPr>
              <w:t xml:space="preserve">Poniżej znajdują się konkretne linki do stron zawierających materiały, które mogą być przydatne przy przedstawianiu dobrych praktyk w zakresie prognozowania zapotrzebowania na dane kompetencje w sektorze w kontekście inicjatywy PES to PES </w:t>
            </w:r>
            <w:proofErr w:type="spellStart"/>
            <w:r w:rsidRPr="002820F1">
              <w:rPr>
                <w:rFonts w:ascii="Times New Roman" w:hAnsi="Times New Roman" w:cs="Times New Roman"/>
                <w:sz w:val="24"/>
                <w:szCs w:val="24"/>
              </w:rPr>
              <w:t>Dialogue</w:t>
            </w:r>
            <w:proofErr w:type="spellEnd"/>
            <w:r w:rsidRPr="002820F1">
              <w:rPr>
                <w:rFonts w:ascii="Times New Roman" w:hAnsi="Times New Roman" w:cs="Times New Roman"/>
                <w:sz w:val="24"/>
                <w:szCs w:val="24"/>
              </w:rPr>
              <w:t>:</w:t>
            </w:r>
          </w:p>
          <w:p w14:paraId="4638DC57" w14:textId="77777777" w:rsidR="002820F1" w:rsidRPr="002820F1" w:rsidRDefault="00E215EB" w:rsidP="006F08B1">
            <w:pPr>
              <w:pStyle w:val="Akapitzlist"/>
              <w:numPr>
                <w:ilvl w:val="0"/>
                <w:numId w:val="39"/>
              </w:numPr>
              <w:spacing w:after="0"/>
              <w:jc w:val="both"/>
              <w:rPr>
                <w:rFonts w:ascii="Times New Roman" w:hAnsi="Times New Roman"/>
                <w:sz w:val="24"/>
                <w:szCs w:val="24"/>
              </w:rPr>
            </w:pPr>
            <w:hyperlink r:id="rId9" w:history="1">
              <w:r w:rsidR="002820F1" w:rsidRPr="002820F1">
                <w:rPr>
                  <w:rStyle w:val="Hipercze"/>
                  <w:rFonts w:ascii="Times New Roman" w:hAnsi="Times New Roman"/>
                  <w:sz w:val="24"/>
                  <w:szCs w:val="24"/>
                </w:rPr>
                <w:t>http://ec.europa.eu/social/main.jsp?catId=1163&amp;langId=en</w:t>
              </w:r>
            </w:hyperlink>
            <w:r w:rsidR="002820F1" w:rsidRPr="002820F1">
              <w:rPr>
                <w:rFonts w:ascii="Times New Roman" w:hAnsi="Times New Roman"/>
                <w:sz w:val="24"/>
                <w:szCs w:val="24"/>
              </w:rPr>
              <w:t xml:space="preserve">  </w:t>
            </w:r>
          </w:p>
          <w:p w14:paraId="0E69DAC3" w14:textId="77777777" w:rsidR="002820F1" w:rsidRPr="002820F1" w:rsidRDefault="00E215EB" w:rsidP="006F08B1">
            <w:pPr>
              <w:pStyle w:val="Akapitzlist"/>
              <w:numPr>
                <w:ilvl w:val="0"/>
                <w:numId w:val="39"/>
              </w:numPr>
              <w:spacing w:after="0"/>
              <w:jc w:val="both"/>
              <w:rPr>
                <w:rFonts w:ascii="Times New Roman" w:hAnsi="Times New Roman"/>
                <w:sz w:val="24"/>
                <w:szCs w:val="24"/>
              </w:rPr>
            </w:pPr>
            <w:hyperlink r:id="rId10" w:history="1">
              <w:r w:rsidR="002820F1" w:rsidRPr="002820F1">
                <w:rPr>
                  <w:rStyle w:val="Hipercze"/>
                  <w:rFonts w:ascii="Times New Roman" w:hAnsi="Times New Roman"/>
                  <w:sz w:val="24"/>
                  <w:szCs w:val="24"/>
                </w:rPr>
                <w:t>http://ec.europa.eu/social/main.jsp?catId=113&amp;langId=en</w:t>
              </w:r>
            </w:hyperlink>
            <w:r w:rsidR="002820F1" w:rsidRPr="002820F1">
              <w:rPr>
                <w:rFonts w:ascii="Times New Roman" w:hAnsi="Times New Roman"/>
                <w:sz w:val="24"/>
                <w:szCs w:val="24"/>
              </w:rPr>
              <w:t xml:space="preserve"> </w:t>
            </w:r>
          </w:p>
          <w:p w14:paraId="0DFA2690" w14:textId="77777777" w:rsidR="002820F1" w:rsidRPr="002820F1" w:rsidRDefault="00E215EB" w:rsidP="006F08B1">
            <w:pPr>
              <w:pStyle w:val="Akapitzlist"/>
              <w:numPr>
                <w:ilvl w:val="0"/>
                <w:numId w:val="39"/>
              </w:numPr>
              <w:spacing w:after="0"/>
              <w:jc w:val="both"/>
              <w:rPr>
                <w:rFonts w:ascii="Times New Roman" w:hAnsi="Times New Roman"/>
                <w:sz w:val="24"/>
                <w:szCs w:val="24"/>
              </w:rPr>
            </w:pPr>
            <w:hyperlink r:id="rId11" w:history="1">
              <w:r w:rsidR="002820F1" w:rsidRPr="002820F1">
                <w:rPr>
                  <w:rStyle w:val="Hipercze"/>
                  <w:rFonts w:ascii="Times New Roman" w:hAnsi="Times New Roman"/>
                  <w:sz w:val="24"/>
                  <w:szCs w:val="24"/>
                </w:rPr>
                <w:t>http://ec.europa.eu/social/main.jsp?catId=784&amp;langId=en</w:t>
              </w:r>
            </w:hyperlink>
            <w:r w:rsidR="002820F1" w:rsidRPr="002820F1">
              <w:rPr>
                <w:rFonts w:ascii="Times New Roman" w:hAnsi="Times New Roman"/>
                <w:sz w:val="24"/>
                <w:szCs w:val="24"/>
              </w:rPr>
              <w:t xml:space="preserve"> </w:t>
            </w:r>
          </w:p>
          <w:p w14:paraId="50A60CDF" w14:textId="77777777" w:rsidR="002820F1" w:rsidRPr="002820F1" w:rsidRDefault="00E215EB" w:rsidP="00C470F3">
            <w:pPr>
              <w:pStyle w:val="Akapitzlist"/>
              <w:numPr>
                <w:ilvl w:val="0"/>
                <w:numId w:val="39"/>
              </w:numPr>
              <w:spacing w:after="120" w:line="259" w:lineRule="auto"/>
              <w:ind w:left="357" w:hanging="357"/>
              <w:jc w:val="both"/>
              <w:rPr>
                <w:rFonts w:ascii="Times New Roman" w:hAnsi="Times New Roman"/>
                <w:sz w:val="24"/>
                <w:szCs w:val="24"/>
              </w:rPr>
            </w:pPr>
            <w:hyperlink r:id="rId12" w:history="1">
              <w:r w:rsidR="002820F1" w:rsidRPr="002820F1">
                <w:rPr>
                  <w:rStyle w:val="Hipercze"/>
                  <w:rFonts w:ascii="Times New Roman" w:hAnsi="Times New Roman"/>
                  <w:sz w:val="24"/>
                  <w:szCs w:val="24"/>
                </w:rPr>
                <w:t>http://ec.europa.eu/social/main.jsp?catId=791&amp;langId=pl</w:t>
              </w:r>
            </w:hyperlink>
            <w:r w:rsidR="002820F1" w:rsidRPr="002820F1">
              <w:rPr>
                <w:rFonts w:ascii="Times New Roman" w:hAnsi="Times New Roman"/>
                <w:sz w:val="24"/>
                <w:szCs w:val="24"/>
              </w:rPr>
              <w:t xml:space="preserve"> </w:t>
            </w:r>
            <w:hyperlink r:id="rId13" w:history="1">
              <w:r w:rsidR="002820F1" w:rsidRPr="002820F1">
                <w:rPr>
                  <w:rStyle w:val="Hipercze"/>
                  <w:rFonts w:ascii="Times New Roman" w:hAnsi="Times New Roman"/>
                  <w:sz w:val="24"/>
                  <w:szCs w:val="24"/>
                </w:rPr>
                <w:t>http://zielonalinia.gov.pl/upload/epsz/PAP-EPES%20and%20LLG_2011-05.pdf</w:t>
              </w:r>
            </w:hyperlink>
            <w:r w:rsidR="002820F1" w:rsidRPr="002820F1">
              <w:rPr>
                <w:rFonts w:ascii="Times New Roman" w:hAnsi="Times New Roman"/>
                <w:sz w:val="24"/>
                <w:szCs w:val="24"/>
              </w:rPr>
              <w:t xml:space="preserve"> </w:t>
            </w:r>
          </w:p>
        </w:tc>
      </w:tr>
      <w:tr w:rsidR="00832FBC" w:rsidRPr="006F1E0F" w14:paraId="5F1F84D2" w14:textId="77777777" w:rsidTr="004658C1">
        <w:trPr>
          <w:cantSplit/>
          <w:trHeight w:val="731"/>
        </w:trPr>
        <w:tc>
          <w:tcPr>
            <w:tcW w:w="1708" w:type="dxa"/>
            <w:vMerge w:val="restart"/>
            <w:shd w:val="clear" w:color="auto" w:fill="auto"/>
          </w:tcPr>
          <w:p w14:paraId="2D313375" w14:textId="77777777" w:rsidR="00314CCC" w:rsidRDefault="002820F1" w:rsidP="002820F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28</w:t>
            </w:r>
          </w:p>
          <w:p w14:paraId="07BFB6FB" w14:textId="538FDDA7" w:rsidR="00E215EB" w:rsidRPr="006F1E0F" w:rsidRDefault="00E215EB" w:rsidP="002820F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(równość szans)</w:t>
            </w:r>
            <w:bookmarkStart w:id="2" w:name="_GoBack"/>
            <w:bookmarkEnd w:id="2"/>
          </w:p>
        </w:tc>
        <w:tc>
          <w:tcPr>
            <w:tcW w:w="7352" w:type="dxa"/>
            <w:shd w:val="clear" w:color="auto" w:fill="auto"/>
          </w:tcPr>
          <w:p w14:paraId="60DB7B8C" w14:textId="5E9241C2" w:rsidR="009A4BEC" w:rsidRPr="006F1E0F" w:rsidRDefault="00C470F3" w:rsidP="002820F1">
            <w:pPr>
              <w:jc w:val="both"/>
              <w:rPr>
                <w:rFonts w:ascii="Times New Roman" w:hAnsi="Times New Roman" w:cs="Times New Roman"/>
                <w:sz w:val="24"/>
                <w:szCs w:val="24"/>
              </w:rPr>
            </w:pPr>
            <w:r w:rsidRPr="00C470F3">
              <w:rPr>
                <w:rFonts w:ascii="Times New Roman" w:hAnsi="Times New Roman" w:cs="Times New Roman"/>
                <w:sz w:val="24"/>
                <w:szCs w:val="24"/>
              </w:rPr>
              <w:t>Jakie są wskazówki do wypełnienia wymogów w zakresie klauzul społecznych oraz zasad równości szans?</w:t>
            </w:r>
          </w:p>
        </w:tc>
      </w:tr>
      <w:tr w:rsidR="00832FBC" w:rsidRPr="006F1E0F" w14:paraId="72B05923" w14:textId="77777777" w:rsidTr="006F1E0F">
        <w:trPr>
          <w:cantSplit/>
          <w:trHeight w:val="958"/>
        </w:trPr>
        <w:tc>
          <w:tcPr>
            <w:tcW w:w="1708" w:type="dxa"/>
            <w:vMerge/>
            <w:shd w:val="clear" w:color="auto" w:fill="auto"/>
          </w:tcPr>
          <w:p w14:paraId="573759C2" w14:textId="77777777" w:rsidR="009A4BEC" w:rsidRPr="006F1E0F" w:rsidRDefault="009A4BEC" w:rsidP="00CC1777">
            <w:pPr>
              <w:spacing w:before="60" w:after="60" w:line="240" w:lineRule="auto"/>
              <w:jc w:val="both"/>
              <w:rPr>
                <w:rFonts w:ascii="Times New Roman" w:hAnsi="Times New Roman" w:cs="Times New Roman"/>
                <w:sz w:val="24"/>
                <w:szCs w:val="24"/>
              </w:rPr>
            </w:pPr>
          </w:p>
        </w:tc>
        <w:tc>
          <w:tcPr>
            <w:tcW w:w="7352" w:type="dxa"/>
            <w:shd w:val="clear" w:color="auto" w:fill="auto"/>
          </w:tcPr>
          <w:p w14:paraId="502623D1" w14:textId="0158688A" w:rsidR="00C470F3" w:rsidRPr="00C470F3" w:rsidRDefault="00C470F3" w:rsidP="00C470F3">
            <w:pPr>
              <w:spacing w:after="0"/>
              <w:jc w:val="both"/>
              <w:rPr>
                <w:rFonts w:ascii="Times New Roman" w:hAnsi="Times New Roman" w:cs="Times New Roman"/>
                <w:sz w:val="24"/>
                <w:szCs w:val="24"/>
              </w:rPr>
            </w:pPr>
            <w:r w:rsidRPr="00C470F3">
              <w:rPr>
                <w:rFonts w:ascii="Times New Roman" w:hAnsi="Times New Roman" w:cs="Times New Roman"/>
                <w:sz w:val="24"/>
                <w:szCs w:val="24"/>
              </w:rPr>
              <w:t>Zgodnie z zapisami par. 20 ust. 2 umowy o dofinansowanie projektu, którego wzór stanowi Załą</w:t>
            </w:r>
            <w:r>
              <w:rPr>
                <w:rFonts w:ascii="Times New Roman" w:hAnsi="Times New Roman" w:cs="Times New Roman"/>
                <w:sz w:val="24"/>
                <w:szCs w:val="24"/>
              </w:rPr>
              <w:t xml:space="preserve">cznik 20 do Regulaminu konkursu </w:t>
            </w:r>
            <w:r w:rsidRPr="00C470F3">
              <w:rPr>
                <w:rFonts w:ascii="Times New Roman" w:hAnsi="Times New Roman" w:cs="Times New Roman"/>
                <w:sz w:val="24"/>
                <w:szCs w:val="24"/>
              </w:rPr>
              <w:t xml:space="preserve">„Beneficjent jest zobowiązany uwzględniać klauzule społeczne przy udzielaniu następujących rodzajów zamówień: </w:t>
            </w:r>
          </w:p>
          <w:p w14:paraId="6238D7AC" w14:textId="77777777" w:rsidR="00C470F3" w:rsidRPr="00C470F3" w:rsidRDefault="00C470F3" w:rsidP="00C470F3">
            <w:pPr>
              <w:pStyle w:val="Akapitzlist"/>
              <w:numPr>
                <w:ilvl w:val="0"/>
                <w:numId w:val="40"/>
              </w:numPr>
              <w:spacing w:after="0"/>
              <w:jc w:val="both"/>
              <w:rPr>
                <w:rFonts w:ascii="Times New Roman" w:hAnsi="Times New Roman"/>
                <w:sz w:val="24"/>
                <w:szCs w:val="24"/>
              </w:rPr>
            </w:pPr>
            <w:proofErr w:type="gramStart"/>
            <w:r w:rsidRPr="00C470F3">
              <w:rPr>
                <w:rFonts w:ascii="Times New Roman" w:hAnsi="Times New Roman"/>
                <w:sz w:val="24"/>
                <w:szCs w:val="24"/>
              </w:rPr>
              <w:t>usługi</w:t>
            </w:r>
            <w:proofErr w:type="gramEnd"/>
            <w:r w:rsidRPr="00C470F3">
              <w:rPr>
                <w:rFonts w:ascii="Times New Roman" w:hAnsi="Times New Roman"/>
                <w:sz w:val="24"/>
                <w:szCs w:val="24"/>
              </w:rPr>
              <w:t xml:space="preserve"> hotelowe,</w:t>
            </w:r>
          </w:p>
          <w:p w14:paraId="39B6DE04" w14:textId="77777777" w:rsidR="00C470F3" w:rsidRPr="00C470F3" w:rsidRDefault="00C470F3" w:rsidP="00C470F3">
            <w:pPr>
              <w:pStyle w:val="Akapitzlist"/>
              <w:numPr>
                <w:ilvl w:val="0"/>
                <w:numId w:val="40"/>
              </w:numPr>
              <w:spacing w:after="0"/>
              <w:jc w:val="both"/>
              <w:rPr>
                <w:rFonts w:ascii="Times New Roman" w:hAnsi="Times New Roman"/>
                <w:sz w:val="24"/>
                <w:szCs w:val="24"/>
              </w:rPr>
            </w:pPr>
            <w:proofErr w:type="gramStart"/>
            <w:r w:rsidRPr="00C470F3">
              <w:rPr>
                <w:rFonts w:ascii="Times New Roman" w:hAnsi="Times New Roman"/>
                <w:sz w:val="24"/>
                <w:szCs w:val="24"/>
              </w:rPr>
              <w:t>usługi</w:t>
            </w:r>
            <w:proofErr w:type="gramEnd"/>
            <w:r w:rsidRPr="00C470F3">
              <w:rPr>
                <w:rFonts w:ascii="Times New Roman" w:hAnsi="Times New Roman"/>
                <w:sz w:val="24"/>
                <w:szCs w:val="24"/>
              </w:rPr>
              <w:t xml:space="preserve"> cateringowe</w:t>
            </w:r>
          </w:p>
          <w:p w14:paraId="377014F2" w14:textId="77777777" w:rsidR="00C470F3" w:rsidRPr="00C470F3" w:rsidRDefault="00C470F3" w:rsidP="00C470F3">
            <w:pPr>
              <w:spacing w:after="0"/>
              <w:jc w:val="both"/>
              <w:rPr>
                <w:rFonts w:ascii="Times New Roman" w:hAnsi="Times New Roman" w:cs="Times New Roman"/>
                <w:sz w:val="24"/>
                <w:szCs w:val="24"/>
              </w:rPr>
            </w:pPr>
            <w:r w:rsidRPr="00C470F3">
              <w:rPr>
                <w:rFonts w:ascii="Times New Roman" w:hAnsi="Times New Roman" w:cs="Times New Roman"/>
                <w:sz w:val="24"/>
                <w:szCs w:val="24"/>
              </w:rPr>
              <w:t xml:space="preserve">w </w:t>
            </w:r>
            <w:proofErr w:type="gramStart"/>
            <w:r w:rsidRPr="00C470F3">
              <w:rPr>
                <w:rFonts w:ascii="Times New Roman" w:hAnsi="Times New Roman" w:cs="Times New Roman"/>
                <w:sz w:val="24"/>
                <w:szCs w:val="24"/>
              </w:rPr>
              <w:t>przypadku gdy</w:t>
            </w:r>
            <w:proofErr w:type="gramEnd"/>
            <w:r w:rsidRPr="00C470F3">
              <w:rPr>
                <w:rFonts w:ascii="Times New Roman" w:hAnsi="Times New Roman" w:cs="Times New Roman"/>
                <w:sz w:val="24"/>
                <w:szCs w:val="24"/>
              </w:rPr>
              <w:t xml:space="preserve"> zgodnie z ust. 1 jest jednocześnie zobowiązany stosować do nich ustawę </w:t>
            </w:r>
            <w:proofErr w:type="spellStart"/>
            <w:r w:rsidRPr="00C470F3">
              <w:rPr>
                <w:rFonts w:ascii="Times New Roman" w:hAnsi="Times New Roman" w:cs="Times New Roman"/>
                <w:sz w:val="24"/>
                <w:szCs w:val="24"/>
              </w:rPr>
              <w:t>Pzp</w:t>
            </w:r>
            <w:proofErr w:type="spellEnd"/>
            <w:r w:rsidRPr="00C470F3">
              <w:rPr>
                <w:rFonts w:ascii="Times New Roman" w:hAnsi="Times New Roman" w:cs="Times New Roman"/>
                <w:sz w:val="24"/>
                <w:szCs w:val="24"/>
              </w:rPr>
              <w:t xml:space="preserve"> albo zasadę konkurencyjności”.</w:t>
            </w:r>
          </w:p>
          <w:p w14:paraId="61E06B6B" w14:textId="77777777" w:rsidR="00C470F3" w:rsidRPr="00C470F3" w:rsidRDefault="00C470F3" w:rsidP="00C470F3">
            <w:pPr>
              <w:spacing w:after="0"/>
              <w:jc w:val="both"/>
              <w:rPr>
                <w:rFonts w:ascii="Times New Roman" w:hAnsi="Times New Roman" w:cs="Times New Roman"/>
                <w:sz w:val="24"/>
                <w:szCs w:val="24"/>
              </w:rPr>
            </w:pPr>
          </w:p>
          <w:p w14:paraId="7985CA19" w14:textId="77777777" w:rsidR="00C470F3" w:rsidRPr="00C470F3" w:rsidRDefault="00C470F3" w:rsidP="00C470F3">
            <w:pPr>
              <w:spacing w:after="0"/>
              <w:jc w:val="both"/>
              <w:rPr>
                <w:rFonts w:ascii="Times New Roman" w:hAnsi="Times New Roman" w:cs="Times New Roman"/>
                <w:sz w:val="24"/>
                <w:szCs w:val="24"/>
              </w:rPr>
            </w:pPr>
            <w:r w:rsidRPr="00C470F3">
              <w:rPr>
                <w:rFonts w:ascii="Times New Roman" w:hAnsi="Times New Roman" w:cs="Times New Roman"/>
                <w:sz w:val="24"/>
                <w:szCs w:val="24"/>
              </w:rPr>
              <w:t>Wymogi w zakresie zasad równości szans oraz niedyskryminacji zostały szczegółowo opisane w:</w:t>
            </w:r>
          </w:p>
          <w:p w14:paraId="1CA7264F" w14:textId="77777777" w:rsidR="00C470F3" w:rsidRPr="00C470F3" w:rsidRDefault="00C470F3" w:rsidP="00C470F3">
            <w:pPr>
              <w:pStyle w:val="Akapitzlist"/>
              <w:numPr>
                <w:ilvl w:val="0"/>
                <w:numId w:val="41"/>
              </w:numPr>
              <w:spacing w:after="0"/>
              <w:jc w:val="both"/>
              <w:rPr>
                <w:rFonts w:ascii="Times New Roman" w:hAnsi="Times New Roman"/>
                <w:sz w:val="24"/>
                <w:szCs w:val="24"/>
              </w:rPr>
            </w:pPr>
            <w:r w:rsidRPr="00C470F3">
              <w:rPr>
                <w:rFonts w:ascii="Times New Roman" w:hAnsi="Times New Roman"/>
                <w:sz w:val="24"/>
                <w:szCs w:val="24"/>
              </w:rPr>
              <w:t>Instrukcji do standardu minimum realizacji równości szans kobiet i mężczyzn w ramach PO WER (znajdującej się w Instrukcji wypełniania wniosku o dofinansowanie),</w:t>
            </w:r>
          </w:p>
          <w:p w14:paraId="578B0A9B" w14:textId="4A8C7AAC" w:rsidR="00C470F3" w:rsidRPr="00C470F3" w:rsidRDefault="00C470F3" w:rsidP="00C470F3">
            <w:pPr>
              <w:pStyle w:val="Akapitzlist"/>
              <w:numPr>
                <w:ilvl w:val="0"/>
                <w:numId w:val="41"/>
              </w:numPr>
              <w:spacing w:after="0"/>
              <w:jc w:val="both"/>
              <w:rPr>
                <w:rFonts w:ascii="Times New Roman" w:hAnsi="Times New Roman"/>
                <w:sz w:val="24"/>
                <w:szCs w:val="24"/>
              </w:rPr>
            </w:pPr>
            <w:r w:rsidRPr="00C470F3">
              <w:rPr>
                <w:rFonts w:ascii="Times New Roman" w:hAnsi="Times New Roman"/>
                <w:sz w:val="24"/>
                <w:szCs w:val="24"/>
              </w:rPr>
              <w:t>Wytycznych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14:paraId="0C22BB65" w14:textId="77777777" w:rsidR="00C470F3" w:rsidRPr="00C470F3" w:rsidRDefault="00C470F3" w:rsidP="00C470F3">
            <w:pPr>
              <w:spacing w:after="0"/>
              <w:jc w:val="both"/>
              <w:rPr>
                <w:rFonts w:ascii="Times New Roman" w:hAnsi="Times New Roman" w:cs="Times New Roman"/>
                <w:sz w:val="24"/>
                <w:szCs w:val="24"/>
              </w:rPr>
            </w:pPr>
          </w:p>
          <w:p w14:paraId="017B4FC8" w14:textId="5C1D41C5" w:rsidR="009A4BEC" w:rsidRPr="00C470F3" w:rsidRDefault="00C470F3" w:rsidP="00C470F3">
            <w:pPr>
              <w:spacing w:after="120"/>
              <w:jc w:val="both"/>
              <w:rPr>
                <w:rFonts w:ascii="Times New Roman" w:hAnsi="Times New Roman" w:cs="Times New Roman"/>
                <w:sz w:val="24"/>
                <w:szCs w:val="24"/>
              </w:rPr>
            </w:pPr>
            <w:r w:rsidRPr="00C470F3">
              <w:rPr>
                <w:rFonts w:ascii="Times New Roman" w:hAnsi="Times New Roman" w:cs="Times New Roman"/>
                <w:sz w:val="24"/>
                <w:szCs w:val="24"/>
              </w:rPr>
              <w:t>W związku z tym zalecane jest zapozn</w:t>
            </w:r>
            <w:r>
              <w:rPr>
                <w:rFonts w:ascii="Times New Roman" w:hAnsi="Times New Roman" w:cs="Times New Roman"/>
                <w:sz w:val="24"/>
                <w:szCs w:val="24"/>
              </w:rPr>
              <w:t>anie się z powyższymi zapisami.</w:t>
            </w:r>
          </w:p>
        </w:tc>
      </w:tr>
    </w:tbl>
    <w:p w14:paraId="1F6A4BDD" w14:textId="77777777" w:rsidR="00302D79" w:rsidRPr="00832FBC" w:rsidRDefault="00302D79" w:rsidP="001E56B8">
      <w:pPr>
        <w:jc w:val="both"/>
        <w:rPr>
          <w:rFonts w:ascii="Times New Roman" w:hAnsi="Times New Roman" w:cs="Times New Roman"/>
        </w:rPr>
      </w:pPr>
    </w:p>
    <w:sectPr w:rsidR="00302D79" w:rsidRPr="00832FBC" w:rsidSect="002820F1">
      <w:headerReference w:type="first" r:id="rId14"/>
      <w:pgSz w:w="11906" w:h="16838"/>
      <w:pgMar w:top="839"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F7D1" w14:textId="77777777" w:rsidR="009C7D41" w:rsidRDefault="009C7D41" w:rsidP="006909FE">
      <w:pPr>
        <w:spacing w:after="0" w:line="240" w:lineRule="auto"/>
      </w:pPr>
      <w:r>
        <w:separator/>
      </w:r>
    </w:p>
  </w:endnote>
  <w:endnote w:type="continuationSeparator" w:id="0">
    <w:p w14:paraId="67124AC5" w14:textId="77777777" w:rsidR="009C7D41" w:rsidRDefault="009C7D41" w:rsidP="0069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F6FE" w14:textId="77777777" w:rsidR="009C7D41" w:rsidRDefault="009C7D41" w:rsidP="006909FE">
      <w:pPr>
        <w:spacing w:after="0" w:line="240" w:lineRule="auto"/>
      </w:pPr>
      <w:r>
        <w:separator/>
      </w:r>
    </w:p>
  </w:footnote>
  <w:footnote w:type="continuationSeparator" w:id="0">
    <w:p w14:paraId="1E148802" w14:textId="77777777" w:rsidR="009C7D41" w:rsidRDefault="009C7D41" w:rsidP="0069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87CE" w14:textId="77777777" w:rsidR="00C15B8E" w:rsidRDefault="00C15B8E">
    <w:pPr>
      <w:pStyle w:val="Nagwek"/>
    </w:pPr>
    <w:r>
      <w:rPr>
        <w:noProof/>
        <w:lang w:eastAsia="pl-PL"/>
      </w:rPr>
      <w:drawing>
        <wp:inline distT="0" distB="0" distL="0" distR="0" wp14:anchorId="7725B473" wp14:editId="7C88A9DE">
          <wp:extent cx="5734050" cy="790575"/>
          <wp:effectExtent l="0" t="0" r="0" b="9525"/>
          <wp:docPr id="7" name="Obraz 7"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E6A"/>
    <w:multiLevelType w:val="hybridMultilevel"/>
    <w:tmpl w:val="0A085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5B59"/>
    <w:multiLevelType w:val="hybridMultilevel"/>
    <w:tmpl w:val="4356C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0010"/>
    <w:multiLevelType w:val="hybridMultilevel"/>
    <w:tmpl w:val="4C408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218DE"/>
    <w:multiLevelType w:val="hybridMultilevel"/>
    <w:tmpl w:val="006ED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E6B0A"/>
    <w:multiLevelType w:val="hybridMultilevel"/>
    <w:tmpl w:val="358A5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D6023"/>
    <w:multiLevelType w:val="hybridMultilevel"/>
    <w:tmpl w:val="BA60A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12733"/>
    <w:multiLevelType w:val="hybridMultilevel"/>
    <w:tmpl w:val="0762A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D16650"/>
    <w:multiLevelType w:val="hybridMultilevel"/>
    <w:tmpl w:val="8F2E8516"/>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206A9"/>
    <w:multiLevelType w:val="hybridMultilevel"/>
    <w:tmpl w:val="764E2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E0CFA"/>
    <w:multiLevelType w:val="multilevel"/>
    <w:tmpl w:val="29A2B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672F33"/>
    <w:multiLevelType w:val="hybridMultilevel"/>
    <w:tmpl w:val="41604C96"/>
    <w:lvl w:ilvl="0" w:tplc="A6BAA0CC">
      <w:start w:val="1"/>
      <w:numFmt w:val="decimal"/>
      <w:lvlText w:val="%1."/>
      <w:lvlJc w:val="left"/>
      <w:pPr>
        <w:ind w:left="735" w:hanging="37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3C0B0F"/>
    <w:multiLevelType w:val="hybridMultilevel"/>
    <w:tmpl w:val="F2E8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733B9"/>
    <w:multiLevelType w:val="hybridMultilevel"/>
    <w:tmpl w:val="EAEC1D14"/>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D84261"/>
    <w:multiLevelType w:val="hybridMultilevel"/>
    <w:tmpl w:val="7220D8AC"/>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3F1C90"/>
    <w:multiLevelType w:val="hybridMultilevel"/>
    <w:tmpl w:val="0908F0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640B58"/>
    <w:multiLevelType w:val="hybridMultilevel"/>
    <w:tmpl w:val="AD3A0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FC3CEA"/>
    <w:multiLevelType w:val="hybridMultilevel"/>
    <w:tmpl w:val="498A8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8E0B0C"/>
    <w:multiLevelType w:val="hybridMultilevel"/>
    <w:tmpl w:val="9828D1CE"/>
    <w:lvl w:ilvl="0" w:tplc="1A92A1F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E570C"/>
    <w:multiLevelType w:val="hybridMultilevel"/>
    <w:tmpl w:val="41407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4D477A"/>
    <w:multiLevelType w:val="hybridMultilevel"/>
    <w:tmpl w:val="D278FA9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0" w15:restartNumberingAfterBreak="0">
    <w:nsid w:val="3BC76E8D"/>
    <w:multiLevelType w:val="hybridMultilevel"/>
    <w:tmpl w:val="C3C4C1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4272AA"/>
    <w:multiLevelType w:val="hybridMultilevel"/>
    <w:tmpl w:val="FC82BC64"/>
    <w:lvl w:ilvl="0" w:tplc="04150001">
      <w:start w:val="1"/>
      <w:numFmt w:val="bullet"/>
      <w:lvlText w:val=""/>
      <w:lvlJc w:val="left"/>
      <w:pPr>
        <w:ind w:left="720" w:hanging="360"/>
      </w:pPr>
      <w:rPr>
        <w:rFonts w:ascii="Symbol" w:hAnsi="Symbol" w:hint="default"/>
      </w:rPr>
    </w:lvl>
    <w:lvl w:ilvl="1" w:tplc="D44A9B48">
      <w:start w:val="2"/>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81C99"/>
    <w:multiLevelType w:val="hybridMultilevel"/>
    <w:tmpl w:val="33ACD9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725365"/>
    <w:multiLevelType w:val="hybridMultilevel"/>
    <w:tmpl w:val="2A624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061451"/>
    <w:multiLevelType w:val="hybridMultilevel"/>
    <w:tmpl w:val="57886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22111F"/>
    <w:multiLevelType w:val="hybridMultilevel"/>
    <w:tmpl w:val="25F6B6F0"/>
    <w:lvl w:ilvl="0" w:tplc="88F4719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233283A"/>
    <w:multiLevelType w:val="hybridMultilevel"/>
    <w:tmpl w:val="A5E00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D1E55"/>
    <w:multiLevelType w:val="hybridMultilevel"/>
    <w:tmpl w:val="C3680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6D2F93"/>
    <w:multiLevelType w:val="hybridMultilevel"/>
    <w:tmpl w:val="CD3C1966"/>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65EA6"/>
    <w:multiLevelType w:val="hybridMultilevel"/>
    <w:tmpl w:val="B83EB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7992D02"/>
    <w:multiLevelType w:val="hybridMultilevel"/>
    <w:tmpl w:val="A124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80109"/>
    <w:multiLevelType w:val="hybridMultilevel"/>
    <w:tmpl w:val="C168687C"/>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E0C4C"/>
    <w:multiLevelType w:val="hybridMultilevel"/>
    <w:tmpl w:val="6848F346"/>
    <w:lvl w:ilvl="0" w:tplc="8F5640F2">
      <w:start w:val="1"/>
      <w:numFmt w:val="lowerLetter"/>
      <w:lvlText w:val="%1)"/>
      <w:lvlJc w:val="left"/>
      <w:pPr>
        <w:ind w:left="705" w:hanging="705"/>
      </w:pPr>
      <w:rPr>
        <w:rFonts w:hint="default"/>
      </w:rPr>
    </w:lvl>
    <w:lvl w:ilvl="1" w:tplc="751E97CE">
      <w:start w:val="3"/>
      <w:numFmt w:val="bullet"/>
      <w:lvlText w:val="•"/>
      <w:lvlJc w:val="left"/>
      <w:pPr>
        <w:ind w:left="1425" w:hanging="705"/>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405A93"/>
    <w:multiLevelType w:val="hybridMultilevel"/>
    <w:tmpl w:val="E7704ABE"/>
    <w:lvl w:ilvl="0" w:tplc="7B8C233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633AE9"/>
    <w:multiLevelType w:val="hybridMultilevel"/>
    <w:tmpl w:val="5B4C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8A0D49"/>
    <w:multiLevelType w:val="hybridMultilevel"/>
    <w:tmpl w:val="A13E6D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9337371"/>
    <w:multiLevelType w:val="hybridMultilevel"/>
    <w:tmpl w:val="2B14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2F3956"/>
    <w:multiLevelType w:val="hybridMultilevel"/>
    <w:tmpl w:val="3FE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2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7"/>
  </w:num>
  <w:num w:numId="7">
    <w:abstractNumId w:val="3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6"/>
  </w:num>
  <w:num w:numId="12">
    <w:abstractNumId w:val="14"/>
  </w:num>
  <w:num w:numId="13">
    <w:abstractNumId w:val="35"/>
  </w:num>
  <w:num w:numId="14">
    <w:abstractNumId w:val="4"/>
  </w:num>
  <w:num w:numId="15">
    <w:abstractNumId w:val="17"/>
  </w:num>
  <w:num w:numId="16">
    <w:abstractNumId w:val="13"/>
  </w:num>
  <w:num w:numId="17">
    <w:abstractNumId w:val="12"/>
  </w:num>
  <w:num w:numId="18">
    <w:abstractNumId w:val="28"/>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23"/>
  </w:num>
  <w:num w:numId="29">
    <w:abstractNumId w:val="1"/>
  </w:num>
  <w:num w:numId="30">
    <w:abstractNumId w:val="34"/>
  </w:num>
  <w:num w:numId="31">
    <w:abstractNumId w:val="20"/>
  </w:num>
  <w:num w:numId="32">
    <w:abstractNumId w:val="0"/>
  </w:num>
  <w:num w:numId="33">
    <w:abstractNumId w:val="32"/>
  </w:num>
  <w:num w:numId="34">
    <w:abstractNumId w:val="11"/>
  </w:num>
  <w:num w:numId="35">
    <w:abstractNumId w:val="31"/>
  </w:num>
  <w:num w:numId="36">
    <w:abstractNumId w:val="7"/>
  </w:num>
  <w:num w:numId="37">
    <w:abstractNumId w:val="24"/>
  </w:num>
  <w:num w:numId="38">
    <w:abstractNumId w:val="33"/>
  </w:num>
  <w:num w:numId="39">
    <w:abstractNumId w:val="6"/>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E"/>
    <w:rsid w:val="000F0FF0"/>
    <w:rsid w:val="00102345"/>
    <w:rsid w:val="0013732F"/>
    <w:rsid w:val="00166276"/>
    <w:rsid w:val="001A38CE"/>
    <w:rsid w:val="001E56B8"/>
    <w:rsid w:val="00215B4B"/>
    <w:rsid w:val="002820F1"/>
    <w:rsid w:val="002A26A2"/>
    <w:rsid w:val="002A5BEE"/>
    <w:rsid w:val="002A7191"/>
    <w:rsid w:val="002E787B"/>
    <w:rsid w:val="002F4225"/>
    <w:rsid w:val="002F7AC1"/>
    <w:rsid w:val="00302D79"/>
    <w:rsid w:val="00314CCC"/>
    <w:rsid w:val="00331149"/>
    <w:rsid w:val="0037395F"/>
    <w:rsid w:val="003A00AC"/>
    <w:rsid w:val="0042626A"/>
    <w:rsid w:val="00450C26"/>
    <w:rsid w:val="004658C1"/>
    <w:rsid w:val="00465EA8"/>
    <w:rsid w:val="00467F8F"/>
    <w:rsid w:val="00473E11"/>
    <w:rsid w:val="00483770"/>
    <w:rsid w:val="004D243A"/>
    <w:rsid w:val="004F2406"/>
    <w:rsid w:val="00517F6A"/>
    <w:rsid w:val="00546432"/>
    <w:rsid w:val="00563227"/>
    <w:rsid w:val="005652A2"/>
    <w:rsid w:val="00577CE3"/>
    <w:rsid w:val="005D5CDD"/>
    <w:rsid w:val="005E21B8"/>
    <w:rsid w:val="006909FE"/>
    <w:rsid w:val="006A4F85"/>
    <w:rsid w:val="006B2BE6"/>
    <w:rsid w:val="006D5833"/>
    <w:rsid w:val="006F14F0"/>
    <w:rsid w:val="006F1E0F"/>
    <w:rsid w:val="00737C97"/>
    <w:rsid w:val="00745E67"/>
    <w:rsid w:val="007967BF"/>
    <w:rsid w:val="007F540A"/>
    <w:rsid w:val="007F7D03"/>
    <w:rsid w:val="00832FBC"/>
    <w:rsid w:val="00847C58"/>
    <w:rsid w:val="008954BA"/>
    <w:rsid w:val="0091398F"/>
    <w:rsid w:val="009465B9"/>
    <w:rsid w:val="00987050"/>
    <w:rsid w:val="00987855"/>
    <w:rsid w:val="009927B5"/>
    <w:rsid w:val="009A4BEC"/>
    <w:rsid w:val="009C7D41"/>
    <w:rsid w:val="00A32EAB"/>
    <w:rsid w:val="00A53C75"/>
    <w:rsid w:val="00AB2FD2"/>
    <w:rsid w:val="00AB3B73"/>
    <w:rsid w:val="00AE4F69"/>
    <w:rsid w:val="00B620E8"/>
    <w:rsid w:val="00BF31C3"/>
    <w:rsid w:val="00C15B8E"/>
    <w:rsid w:val="00C17436"/>
    <w:rsid w:val="00C470F3"/>
    <w:rsid w:val="00C566CC"/>
    <w:rsid w:val="00CA0531"/>
    <w:rsid w:val="00CA326C"/>
    <w:rsid w:val="00CB5499"/>
    <w:rsid w:val="00CC3E06"/>
    <w:rsid w:val="00CC56D4"/>
    <w:rsid w:val="00CE576A"/>
    <w:rsid w:val="00D03CD9"/>
    <w:rsid w:val="00D07116"/>
    <w:rsid w:val="00D102E9"/>
    <w:rsid w:val="00D31A3C"/>
    <w:rsid w:val="00D67657"/>
    <w:rsid w:val="00D73CAD"/>
    <w:rsid w:val="00DC197A"/>
    <w:rsid w:val="00DD041B"/>
    <w:rsid w:val="00E215EB"/>
    <w:rsid w:val="00E23CD9"/>
    <w:rsid w:val="00E245F3"/>
    <w:rsid w:val="00E5434C"/>
    <w:rsid w:val="00E9709C"/>
    <w:rsid w:val="00EA429F"/>
    <w:rsid w:val="00F63DD2"/>
    <w:rsid w:val="00F91B20"/>
    <w:rsid w:val="00FA7279"/>
    <w:rsid w:val="00FD2E4F"/>
    <w:rsid w:val="00FF3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9EAE6B"/>
  <w15:docId w15:val="{BF1CE97C-CD3C-4C2E-8EE2-F1A8F7F8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909FE"/>
    <w:pPr>
      <w:keepNext/>
      <w:spacing w:before="240" w:after="60" w:line="280" w:lineRule="exact"/>
      <w:jc w:val="both"/>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0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9FE"/>
  </w:style>
  <w:style w:type="paragraph" w:styleId="Stopka">
    <w:name w:val="footer"/>
    <w:basedOn w:val="Normalny"/>
    <w:link w:val="StopkaZnak"/>
    <w:uiPriority w:val="99"/>
    <w:unhideWhenUsed/>
    <w:rsid w:val="00690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9FE"/>
  </w:style>
  <w:style w:type="paragraph" w:styleId="NormalnyWeb">
    <w:name w:val="Normal (Web)"/>
    <w:basedOn w:val="Normalny"/>
    <w:semiHidden/>
    <w:rsid w:val="006909FE"/>
    <w:pPr>
      <w:spacing w:before="100" w:beforeAutospacing="1" w:after="100" w:afterAutospacing="1" w:line="288" w:lineRule="auto"/>
    </w:pPr>
    <w:rPr>
      <w:rFonts w:ascii="Verdana" w:eastAsia="Times New Roman" w:hAnsi="Verdana" w:cs="Times New Roman"/>
      <w:color w:val="4A4A4A"/>
      <w:sz w:val="11"/>
      <w:szCs w:val="11"/>
      <w:lang w:eastAsia="pl-PL"/>
    </w:rPr>
  </w:style>
  <w:style w:type="character" w:styleId="Pogrubienie">
    <w:name w:val="Strong"/>
    <w:uiPriority w:val="22"/>
    <w:qFormat/>
    <w:rsid w:val="006909FE"/>
    <w:rPr>
      <w:b/>
      <w:bCs/>
    </w:rPr>
  </w:style>
  <w:style w:type="character" w:customStyle="1" w:styleId="Nagwek1Znak">
    <w:name w:val="Nagłówek 1 Znak"/>
    <w:basedOn w:val="Domylnaczcionkaakapitu"/>
    <w:link w:val="Nagwek1"/>
    <w:rsid w:val="006909FE"/>
    <w:rPr>
      <w:rFonts w:ascii="Cambria" w:eastAsia="Times New Roman" w:hAnsi="Cambria" w:cs="Times New Roman"/>
      <w:b/>
      <w:bCs/>
      <w:kern w:val="32"/>
      <w:sz w:val="32"/>
      <w:szCs w:val="32"/>
      <w:lang w:eastAsia="pl-PL"/>
    </w:rPr>
  </w:style>
  <w:style w:type="paragraph" w:styleId="Akapitzlist">
    <w:name w:val="List Paragraph"/>
    <w:basedOn w:val="Normalny"/>
    <w:link w:val="AkapitzlistZnak"/>
    <w:uiPriority w:val="34"/>
    <w:qFormat/>
    <w:rsid w:val="006909FE"/>
    <w:pPr>
      <w:spacing w:after="200" w:line="276" w:lineRule="auto"/>
      <w:ind w:left="720"/>
      <w:contextualSpacing/>
    </w:pPr>
    <w:rPr>
      <w:rFonts w:ascii="Calibri" w:eastAsia="Calibri" w:hAnsi="Calibri" w:cs="Times New Roman"/>
    </w:rPr>
  </w:style>
  <w:style w:type="paragraph" w:customStyle="1" w:styleId="Default">
    <w:name w:val="Default"/>
    <w:rsid w:val="006909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6909FE"/>
    <w:rPr>
      <w:color w:val="0000FF"/>
      <w:u w:val="single"/>
    </w:rPr>
  </w:style>
  <w:style w:type="character" w:customStyle="1" w:styleId="AkapitzlistZnak">
    <w:name w:val="Akapit z listą Znak"/>
    <w:link w:val="Akapitzlist"/>
    <w:uiPriority w:val="34"/>
    <w:locked/>
    <w:rsid w:val="006909FE"/>
    <w:rPr>
      <w:rFonts w:ascii="Calibri" w:eastAsia="Calibri" w:hAnsi="Calibri" w:cs="Times New Roman"/>
    </w:rPr>
  </w:style>
  <w:style w:type="character" w:styleId="UyteHipercze">
    <w:name w:val="FollowedHyperlink"/>
    <w:basedOn w:val="Domylnaczcionkaakapitu"/>
    <w:uiPriority w:val="99"/>
    <w:semiHidden/>
    <w:unhideWhenUsed/>
    <w:rsid w:val="006909FE"/>
    <w:rPr>
      <w:color w:val="954F72" w:themeColor="followedHyperlink"/>
      <w:u w:val="single"/>
    </w:rPr>
  </w:style>
  <w:style w:type="paragraph" w:styleId="Tekstdymka">
    <w:name w:val="Balloon Text"/>
    <w:basedOn w:val="Normalny"/>
    <w:link w:val="TekstdymkaZnak"/>
    <w:uiPriority w:val="99"/>
    <w:semiHidden/>
    <w:unhideWhenUsed/>
    <w:rsid w:val="00473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E11"/>
    <w:rPr>
      <w:rFonts w:ascii="Tahoma" w:hAnsi="Tahoma" w:cs="Tahoma"/>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7967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7967B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7967BF"/>
    <w:rPr>
      <w:vertAlign w:val="superscript"/>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uiPriority w:val="99"/>
    <w:semiHidden/>
    <w:locked/>
    <w:rsid w:val="0091398F"/>
    <w:rPr>
      <w:rFonts w:ascii="Calibri" w:hAnsi="Calibri"/>
    </w:rPr>
  </w:style>
  <w:style w:type="character" w:customStyle="1" w:styleId="apple-converted-space">
    <w:name w:val="apple-converted-space"/>
    <w:basedOn w:val="Domylnaczcionkaakapitu"/>
    <w:rsid w:val="006B2BE6"/>
  </w:style>
  <w:style w:type="character" w:styleId="Odwoaniedokomentarza">
    <w:name w:val="annotation reference"/>
    <w:basedOn w:val="Domylnaczcionkaakapitu"/>
    <w:uiPriority w:val="99"/>
    <w:semiHidden/>
    <w:unhideWhenUsed/>
    <w:rsid w:val="005652A2"/>
    <w:rPr>
      <w:sz w:val="16"/>
      <w:szCs w:val="16"/>
    </w:rPr>
  </w:style>
  <w:style w:type="paragraph" w:styleId="Tekstkomentarza">
    <w:name w:val="annotation text"/>
    <w:basedOn w:val="Normalny"/>
    <w:link w:val="TekstkomentarzaZnak"/>
    <w:uiPriority w:val="99"/>
    <w:semiHidden/>
    <w:unhideWhenUsed/>
    <w:rsid w:val="005652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2A2"/>
    <w:rPr>
      <w:sz w:val="20"/>
      <w:szCs w:val="20"/>
    </w:rPr>
  </w:style>
  <w:style w:type="paragraph" w:styleId="Tematkomentarza">
    <w:name w:val="annotation subject"/>
    <w:basedOn w:val="Tekstkomentarza"/>
    <w:next w:val="Tekstkomentarza"/>
    <w:link w:val="TematkomentarzaZnak"/>
    <w:uiPriority w:val="99"/>
    <w:semiHidden/>
    <w:unhideWhenUsed/>
    <w:rsid w:val="005652A2"/>
    <w:rPr>
      <w:b/>
      <w:bCs/>
    </w:rPr>
  </w:style>
  <w:style w:type="character" w:customStyle="1" w:styleId="TematkomentarzaZnak">
    <w:name w:val="Temat komentarza Znak"/>
    <w:basedOn w:val="TekstkomentarzaZnak"/>
    <w:link w:val="Tematkomentarza"/>
    <w:uiPriority w:val="99"/>
    <w:semiHidden/>
    <w:rsid w:val="00565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097">
      <w:bodyDiv w:val="1"/>
      <w:marLeft w:val="0"/>
      <w:marRight w:val="0"/>
      <w:marTop w:val="0"/>
      <w:marBottom w:val="0"/>
      <w:divBdr>
        <w:top w:val="none" w:sz="0" w:space="0" w:color="auto"/>
        <w:left w:val="none" w:sz="0" w:space="0" w:color="auto"/>
        <w:bottom w:val="none" w:sz="0" w:space="0" w:color="auto"/>
        <w:right w:val="none" w:sz="0" w:space="0" w:color="auto"/>
      </w:divBdr>
    </w:div>
    <w:div w:id="231743650">
      <w:bodyDiv w:val="1"/>
      <w:marLeft w:val="0"/>
      <w:marRight w:val="0"/>
      <w:marTop w:val="0"/>
      <w:marBottom w:val="0"/>
      <w:divBdr>
        <w:top w:val="none" w:sz="0" w:space="0" w:color="auto"/>
        <w:left w:val="none" w:sz="0" w:space="0" w:color="auto"/>
        <w:bottom w:val="none" w:sz="0" w:space="0" w:color="auto"/>
        <w:right w:val="none" w:sz="0" w:space="0" w:color="auto"/>
      </w:divBdr>
    </w:div>
    <w:div w:id="417989729">
      <w:bodyDiv w:val="1"/>
      <w:marLeft w:val="0"/>
      <w:marRight w:val="0"/>
      <w:marTop w:val="0"/>
      <w:marBottom w:val="0"/>
      <w:divBdr>
        <w:top w:val="none" w:sz="0" w:space="0" w:color="auto"/>
        <w:left w:val="none" w:sz="0" w:space="0" w:color="auto"/>
        <w:bottom w:val="none" w:sz="0" w:space="0" w:color="auto"/>
        <w:right w:val="none" w:sz="0" w:space="0" w:color="auto"/>
      </w:divBdr>
    </w:div>
    <w:div w:id="706417319">
      <w:bodyDiv w:val="1"/>
      <w:marLeft w:val="0"/>
      <w:marRight w:val="0"/>
      <w:marTop w:val="0"/>
      <w:marBottom w:val="0"/>
      <w:divBdr>
        <w:top w:val="none" w:sz="0" w:space="0" w:color="auto"/>
        <w:left w:val="none" w:sz="0" w:space="0" w:color="auto"/>
        <w:bottom w:val="none" w:sz="0" w:space="0" w:color="auto"/>
        <w:right w:val="none" w:sz="0" w:space="0" w:color="auto"/>
      </w:divBdr>
    </w:div>
    <w:div w:id="794829408">
      <w:bodyDiv w:val="1"/>
      <w:marLeft w:val="0"/>
      <w:marRight w:val="0"/>
      <w:marTop w:val="0"/>
      <w:marBottom w:val="0"/>
      <w:divBdr>
        <w:top w:val="none" w:sz="0" w:space="0" w:color="auto"/>
        <w:left w:val="none" w:sz="0" w:space="0" w:color="auto"/>
        <w:bottom w:val="none" w:sz="0" w:space="0" w:color="auto"/>
        <w:right w:val="none" w:sz="0" w:space="0" w:color="auto"/>
      </w:divBdr>
    </w:div>
    <w:div w:id="839125551">
      <w:bodyDiv w:val="1"/>
      <w:marLeft w:val="0"/>
      <w:marRight w:val="0"/>
      <w:marTop w:val="0"/>
      <w:marBottom w:val="0"/>
      <w:divBdr>
        <w:top w:val="none" w:sz="0" w:space="0" w:color="auto"/>
        <w:left w:val="none" w:sz="0" w:space="0" w:color="auto"/>
        <w:bottom w:val="none" w:sz="0" w:space="0" w:color="auto"/>
        <w:right w:val="none" w:sz="0" w:space="0" w:color="auto"/>
      </w:divBdr>
    </w:div>
    <w:div w:id="1186671317">
      <w:bodyDiv w:val="1"/>
      <w:marLeft w:val="0"/>
      <w:marRight w:val="0"/>
      <w:marTop w:val="0"/>
      <w:marBottom w:val="0"/>
      <w:divBdr>
        <w:top w:val="none" w:sz="0" w:space="0" w:color="auto"/>
        <w:left w:val="none" w:sz="0" w:space="0" w:color="auto"/>
        <w:bottom w:val="none" w:sz="0" w:space="0" w:color="auto"/>
        <w:right w:val="none" w:sz="0" w:space="0" w:color="auto"/>
      </w:divBdr>
    </w:div>
    <w:div w:id="1263802472">
      <w:bodyDiv w:val="1"/>
      <w:marLeft w:val="0"/>
      <w:marRight w:val="0"/>
      <w:marTop w:val="0"/>
      <w:marBottom w:val="0"/>
      <w:divBdr>
        <w:top w:val="none" w:sz="0" w:space="0" w:color="auto"/>
        <w:left w:val="none" w:sz="0" w:space="0" w:color="auto"/>
        <w:bottom w:val="none" w:sz="0" w:space="0" w:color="auto"/>
        <w:right w:val="none" w:sz="0" w:space="0" w:color="auto"/>
      </w:divBdr>
    </w:div>
    <w:div w:id="1314993313">
      <w:bodyDiv w:val="1"/>
      <w:marLeft w:val="0"/>
      <w:marRight w:val="0"/>
      <w:marTop w:val="0"/>
      <w:marBottom w:val="0"/>
      <w:divBdr>
        <w:top w:val="none" w:sz="0" w:space="0" w:color="auto"/>
        <w:left w:val="none" w:sz="0" w:space="0" w:color="auto"/>
        <w:bottom w:val="none" w:sz="0" w:space="0" w:color="auto"/>
        <w:right w:val="none" w:sz="0" w:space="0" w:color="auto"/>
      </w:divBdr>
    </w:div>
    <w:div w:id="1559970496">
      <w:bodyDiv w:val="1"/>
      <w:marLeft w:val="0"/>
      <w:marRight w:val="0"/>
      <w:marTop w:val="0"/>
      <w:marBottom w:val="0"/>
      <w:divBdr>
        <w:top w:val="none" w:sz="0" w:space="0" w:color="auto"/>
        <w:left w:val="none" w:sz="0" w:space="0" w:color="auto"/>
        <w:bottom w:val="none" w:sz="0" w:space="0" w:color="auto"/>
        <w:right w:val="none" w:sz="0" w:space="0" w:color="auto"/>
      </w:divBdr>
    </w:div>
    <w:div w:id="1609192868">
      <w:bodyDiv w:val="1"/>
      <w:marLeft w:val="0"/>
      <w:marRight w:val="0"/>
      <w:marTop w:val="0"/>
      <w:marBottom w:val="0"/>
      <w:divBdr>
        <w:top w:val="none" w:sz="0" w:space="0" w:color="auto"/>
        <w:left w:val="none" w:sz="0" w:space="0" w:color="auto"/>
        <w:bottom w:val="none" w:sz="0" w:space="0" w:color="auto"/>
        <w:right w:val="none" w:sz="0" w:space="0" w:color="auto"/>
      </w:divBdr>
    </w:div>
    <w:div w:id="1640961138">
      <w:bodyDiv w:val="1"/>
      <w:marLeft w:val="0"/>
      <w:marRight w:val="0"/>
      <w:marTop w:val="0"/>
      <w:marBottom w:val="0"/>
      <w:divBdr>
        <w:top w:val="none" w:sz="0" w:space="0" w:color="auto"/>
        <w:left w:val="none" w:sz="0" w:space="0" w:color="auto"/>
        <w:bottom w:val="none" w:sz="0" w:space="0" w:color="auto"/>
        <w:right w:val="none" w:sz="0" w:space="0" w:color="auto"/>
      </w:divBdr>
    </w:div>
    <w:div w:id="1700620863">
      <w:bodyDiv w:val="1"/>
      <w:marLeft w:val="0"/>
      <w:marRight w:val="0"/>
      <w:marTop w:val="0"/>
      <w:marBottom w:val="0"/>
      <w:divBdr>
        <w:top w:val="none" w:sz="0" w:space="0" w:color="auto"/>
        <w:left w:val="none" w:sz="0" w:space="0" w:color="auto"/>
        <w:bottom w:val="none" w:sz="0" w:space="0" w:color="auto"/>
        <w:right w:val="none" w:sz="0" w:space="0" w:color="auto"/>
      </w:divBdr>
    </w:div>
    <w:div w:id="1729260399">
      <w:bodyDiv w:val="1"/>
      <w:marLeft w:val="0"/>
      <w:marRight w:val="0"/>
      <w:marTop w:val="0"/>
      <w:marBottom w:val="0"/>
      <w:divBdr>
        <w:top w:val="none" w:sz="0" w:space="0" w:color="auto"/>
        <w:left w:val="none" w:sz="0" w:space="0" w:color="auto"/>
        <w:bottom w:val="none" w:sz="0" w:space="0" w:color="auto"/>
        <w:right w:val="none" w:sz="0" w:space="0" w:color="auto"/>
      </w:divBdr>
    </w:div>
    <w:div w:id="1908344360">
      <w:bodyDiv w:val="1"/>
      <w:marLeft w:val="0"/>
      <w:marRight w:val="0"/>
      <w:marTop w:val="0"/>
      <w:marBottom w:val="0"/>
      <w:divBdr>
        <w:top w:val="none" w:sz="0" w:space="0" w:color="auto"/>
        <w:left w:val="none" w:sz="0" w:space="0" w:color="auto"/>
        <w:bottom w:val="none" w:sz="0" w:space="0" w:color="auto"/>
        <w:right w:val="none" w:sz="0" w:space="0" w:color="auto"/>
      </w:divBdr>
    </w:div>
    <w:div w:id="1994604317">
      <w:bodyDiv w:val="1"/>
      <w:marLeft w:val="0"/>
      <w:marRight w:val="0"/>
      <w:marTop w:val="0"/>
      <w:marBottom w:val="0"/>
      <w:divBdr>
        <w:top w:val="none" w:sz="0" w:space="0" w:color="auto"/>
        <w:left w:val="none" w:sz="0" w:space="0" w:color="auto"/>
        <w:bottom w:val="none" w:sz="0" w:space="0" w:color="auto"/>
        <w:right w:val="none" w:sz="0" w:space="0" w:color="auto"/>
      </w:divBdr>
    </w:div>
    <w:div w:id="21170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13" Type="http://schemas.openxmlformats.org/officeDocument/2006/relationships/hyperlink" Target="http://zielonalinia.gov.pl/upload/epsz/PAP-EPES%20and%20LLG_2011-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social/main.jsp?catId=791&amp;langI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catId=784&amp;langI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social/main.jsp?catId=113&amp;langId=en" TargetMode="External"/><Relationship Id="rId4" Type="http://schemas.openxmlformats.org/officeDocument/2006/relationships/settings" Target="settings.xml"/><Relationship Id="rId9" Type="http://schemas.openxmlformats.org/officeDocument/2006/relationships/hyperlink" Target="http://ec.europa.eu/social/main.jsp?catId=1163&amp;langId=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DCA0-DEE9-4D71-847C-662C693F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2085</Words>
  <Characters>12512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7</cp:revision>
  <dcterms:created xsi:type="dcterms:W3CDTF">2016-04-22T11:40:00Z</dcterms:created>
  <dcterms:modified xsi:type="dcterms:W3CDTF">2016-04-22T12:36:00Z</dcterms:modified>
</cp:coreProperties>
</file>