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Pr="004F3F42" w:rsidRDefault="00FD1502" w:rsidP="00FD1502">
      <w:pPr>
        <w:keepNext/>
        <w:tabs>
          <w:tab w:val="left" w:pos="0"/>
          <w:tab w:val="left" w:pos="180"/>
          <w:tab w:val="left" w:pos="435"/>
          <w:tab w:val="left" w:pos="1125"/>
          <w:tab w:val="right" w:pos="14057"/>
        </w:tabs>
        <w:spacing w:before="240" w:after="240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98FA90" wp14:editId="76D12806">
            <wp:simplePos x="0" y="0"/>
            <wp:positionH relativeFrom="column">
              <wp:posOffset>0</wp:posOffset>
            </wp:positionH>
            <wp:positionV relativeFrom="paragraph">
              <wp:posOffset>-158957</wp:posOffset>
            </wp:positionV>
            <wp:extent cx="1726565" cy="913765"/>
            <wp:effectExtent l="0" t="0" r="6985" b="635"/>
            <wp:wrapNone/>
            <wp:docPr id="4" name="Obraz 2" descr="Logo Fundusze Europejskie Inteligentny Rozwoj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7036730</wp:posOffset>
            </wp:positionH>
            <wp:positionV relativeFrom="paragraph">
              <wp:posOffset>1138</wp:posOffset>
            </wp:positionV>
            <wp:extent cx="2155190" cy="714375"/>
            <wp:effectExtent l="0" t="0" r="0" b="9525"/>
            <wp:wrapTopAndBottom/>
            <wp:docPr id="5" name="Obraz 5" descr="Flaga Unii Europejskiej Europejski Fundusz Rozwoju Regionalnego" title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6A" w:rsidRPr="004F3F42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Pr="004F3F42" w:rsidRDefault="0080715B" w:rsidP="00FD1502">
      <w:pPr>
        <w:pStyle w:val="Akapitzlist"/>
        <w:keepNext/>
        <w:numPr>
          <w:ilvl w:val="0"/>
          <w:numId w:val="28"/>
        </w:numPr>
        <w:tabs>
          <w:tab w:val="left" w:pos="850"/>
        </w:tabs>
        <w:spacing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Czy w ramach projektu realizowane jest przedsięwzięcie</w:t>
      </w:r>
      <w:r w:rsidR="00F35BEB"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art. 3 ust. 1 pkt 13) ustawy o udostępnianiu informacji o środowisku i jego ochronie, udziale społeczeństwa w ochronie środowiska oraz o ocenach oddziaływania na środowisko</w:t>
      </w:r>
      <w:r w:rsidR="00F35BEB" w:rsidRPr="004F3F42">
        <w:rPr>
          <w:rFonts w:ascii="Calibri" w:hAnsi="Calibri" w:cs="Arial"/>
          <w:sz w:val="18"/>
          <w:szCs w:val="18"/>
          <w:lang w:eastAsia="en-GB"/>
        </w:rPr>
        <w:t xml:space="preserve"> </w:t>
      </w:r>
      <w:r w:rsidR="00F35BEB" w:rsidRPr="004F3F42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</w:t>
      </w:r>
      <w:bookmarkStart w:id="0" w:name="_GoBack"/>
      <w:bookmarkEnd w:id="0"/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footnoteReference w:id="2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 w:rsidRPr="006E4B27">
        <w:rPr>
          <w:rFonts w:ascii="Calibri" w:hAnsi="Calibri" w:cs="Arial"/>
          <w:sz w:val="24"/>
          <w:szCs w:val="24"/>
          <w:lang w:eastAsia="en-GB"/>
        </w:rPr>
        <w:t xml:space="preserve">Czy projekt </w:t>
      </w:r>
      <w:r w:rsidR="003D3631" w:rsidRPr="006E4B27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Pr="004F3F42">
        <w:rPr>
          <w:i/>
          <w:iCs/>
          <w:vertAlign w:val="superscript"/>
          <w:lang w:eastAsia="en-GB"/>
        </w:rPr>
        <w:footnoteReference w:id="3"/>
      </w:r>
      <w:r w:rsidRPr="006E4B27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iem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.2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69142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="00DC3E98" w:rsidRPr="004F3F42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  <w:r w:rsidRPr="004F3F42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projekt objęty jest załącznikiem I do dyrektywy OOŚ,</w:t>
      </w:r>
      <w:r w:rsidR="009B50D2" w:rsidRPr="004F3F4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Pr="004F3F42" w:rsidRDefault="009B50D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33D94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E33D9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 w:rsidRPr="00E33D94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Pr="004F3F42" w:rsidRDefault="00F948DC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N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Pr="004F3F42" w:rsidRDefault="0080715B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4F3F42" w:rsidRDefault="008636B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Zezwolenie na inwestycję</w:t>
      </w:r>
      <w:r w:rsidR="005727AA" w:rsidRPr="006E4B27">
        <w:rPr>
          <w:rFonts w:ascii="Calibri" w:hAnsi="Calibri" w:cs="Arial"/>
          <w:sz w:val="24"/>
          <w:szCs w:val="24"/>
          <w:lang w:eastAsia="en-GB"/>
        </w:rPr>
        <w:footnoteReference w:id="5"/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6E4B2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/przedsięwzięcia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</w:t>
      </w:r>
      <w:r w:rsidR="00E33D94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„Tak”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 w:rsidRPr="004F3F42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Kiedy oczekuje się wydania ostatecznej decyzji (lub ostatecznych decyzji)?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Należy określić właściwy organ (lub właściwe organy), który wydał lub wyda zezwolenie na inwestycję: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10" w:history="1">
        <w:r w:rsidRPr="004F3F42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footnoteReference w:id="6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4F3F42" w:rsidTr="009726BD">
        <w:trPr>
          <w:cantSplit/>
        </w:trPr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DE4AA6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>”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4F3F42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5</w:t>
      </w:r>
      <w:r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spacing w:before="120" w:after="120" w:line="276" w:lineRule="auto"/>
        <w:ind w:left="851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Pr="004F3F42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w jaki sposób projekt pokrywa się z celami planu gospodarowania wodami w dorzeczu, które ustanowiono dla odpowiednich jednolitych części wód.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</w:t>
      </w:r>
      <w:r w:rsidR="004F3F42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procedury OOŚ lub innych procedur oceny (takich jak dyrektywa siedliskowa, ramowa dyrektywa wodna, dyrektywa w sprawie emisji przemysłowych) lub wymogów krajowych/regionalnych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4F3F42" w:rsidTr="009726BD">
        <w:trPr>
          <w:cantSplit/>
        </w:trPr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6E4B27">
        <w:footnoteReference w:id="8"/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4F3F42" w:rsidTr="009A1569">
        <w:trPr>
          <w:cantSplit/>
          <w:trHeight w:val="255"/>
        </w:trPr>
        <w:tc>
          <w:tcPr>
            <w:tcW w:w="1350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Przystosowanie się do zmiany klimatu i łagodzenie zmiany klimatu, a także odporność na klęski żywiołowe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.2-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Pr="004F3F42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Wzrost efektywności energetycznej o 20 %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jakie rozwiązania przyjęto w celu zapewnienia odporności na bieżącą zmienność klimatu i przyszłą zmianę klimatu w</w:t>
      </w:r>
      <w:r w:rsidR="004F3F42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4F3F42" w:rsidRDefault="00E4517E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/>
          <w:sz w:val="24"/>
          <w:szCs w:val="24"/>
        </w:rPr>
      </w:pPr>
    </w:p>
    <w:sectPr w:rsidR="00E4517E" w:rsidRPr="004F3F42" w:rsidSect="004F3F42">
      <w:headerReference w:type="default" r:id="rId11"/>
      <w:footerReference w:type="default" r:id="rId12"/>
      <w:pgSz w:w="16838" w:h="11906" w:orient="landscape"/>
      <w:pgMar w:top="1560" w:right="1702" w:bottom="567" w:left="1079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D8" w:rsidRDefault="00337FD8" w:rsidP="00E4517E">
      <w:r>
        <w:separator/>
      </w:r>
    </w:p>
  </w:endnote>
  <w:endnote w:type="continuationSeparator" w:id="0">
    <w:p w:rsidR="00337FD8" w:rsidRDefault="00337FD8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D8" w:rsidRDefault="00337FD8" w:rsidP="00E4517E">
      <w:r>
        <w:separator/>
      </w:r>
    </w:p>
  </w:footnote>
  <w:footnote w:type="continuationSeparator" w:id="0">
    <w:p w:rsidR="00337FD8" w:rsidRDefault="00337FD8" w:rsidP="00E4517E">
      <w:r>
        <w:continuationSeparator/>
      </w:r>
    </w:p>
  </w:footnote>
  <w:footnote w:id="1">
    <w:p w:rsidR="00F35BEB" w:rsidRPr="00BF4B24" w:rsidRDefault="00F35BEB" w:rsidP="00EA2621">
      <w:pPr>
        <w:pStyle w:val="Tekstprzypisudolnego"/>
        <w:spacing w:after="0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Pr="00BF4B24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2016 r., poz. 353).</w:t>
      </w:r>
    </w:p>
  </w:footnote>
  <w:footnote w:id="2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BF4B24">
        <w:rPr>
          <w:rFonts w:cs="Arial"/>
          <w:lang w:eastAsia="en-GB"/>
        </w:rPr>
        <w:t> </w:t>
      </w:r>
      <w:r w:rsidRPr="00BF4B24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23FDD" w:rsidRDefault="002B1F29" w:rsidP="00EA2621">
      <w:pPr>
        <w:pStyle w:val="Tekstprzypisudolnego"/>
        <w:spacing w:after="0"/>
        <w:ind w:left="142" w:hanging="142"/>
        <w:rPr>
          <w:rFonts w:cs="Arial"/>
          <w:sz w:val="18"/>
          <w:szCs w:val="18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BF4B24" w:rsidRDefault="00DC3E98" w:rsidP="00EA2621">
      <w:pPr>
        <w:pStyle w:val="Tekstprzypisudolnego"/>
        <w:jc w:val="both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Pr="00BF4B24">
        <w:rPr>
          <w:rFonts w:cs="Arial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 w:rsidRPr="00BF4B24">
        <w:rPr>
          <w:rFonts w:cs="Arial"/>
          <w:lang w:eastAsia="en-GB"/>
        </w:rPr>
        <w:t>isko należy przejść do pytania 2</w:t>
      </w:r>
      <w:r w:rsidRPr="00BF4B24">
        <w:rPr>
          <w:rFonts w:cs="Arial"/>
          <w:lang w:eastAsia="en-GB"/>
        </w:rPr>
        <w:t>.</w:t>
      </w:r>
      <w:r w:rsidR="00B01025" w:rsidRPr="00BF4B24">
        <w:rPr>
          <w:rFonts w:cs="Arial"/>
          <w:lang w:eastAsia="en-GB"/>
        </w:rPr>
        <w:t>2</w:t>
      </w:r>
      <w:r w:rsidRPr="00BF4B24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Default="005727AA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BF4B24" w:rsidRDefault="002B1F29" w:rsidP="00EA2621">
      <w:pPr>
        <w:pStyle w:val="Tekstprzypisudolnego"/>
        <w:spacing w:after="0"/>
        <w:ind w:left="142" w:hanging="142"/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0418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4F3F42" w:rsidRPr="004F3F42" w:rsidRDefault="004F3F42">
        <w:pPr>
          <w:pStyle w:val="Nagwek"/>
          <w:jc w:val="right"/>
          <w:rPr>
            <w:rFonts w:asciiTheme="minorHAnsi" w:hAnsiTheme="minorHAnsi"/>
          </w:rPr>
        </w:pPr>
        <w:r w:rsidRPr="004F3F42">
          <w:rPr>
            <w:rFonts w:asciiTheme="minorHAnsi" w:hAnsiTheme="minorHAnsi"/>
          </w:rPr>
          <w:fldChar w:fldCharType="begin"/>
        </w:r>
        <w:r w:rsidRPr="004F3F42">
          <w:rPr>
            <w:rFonts w:asciiTheme="minorHAnsi" w:hAnsiTheme="minorHAnsi"/>
          </w:rPr>
          <w:instrText>PAGE   \* MERGEFORMAT</w:instrText>
        </w:r>
        <w:r w:rsidRPr="004F3F42">
          <w:rPr>
            <w:rFonts w:asciiTheme="minorHAnsi" w:hAnsiTheme="minorHAnsi"/>
          </w:rPr>
          <w:fldChar w:fldCharType="separate"/>
        </w:r>
        <w:r w:rsidR="001F304B">
          <w:rPr>
            <w:rFonts w:asciiTheme="minorHAnsi" w:hAnsiTheme="minorHAnsi"/>
            <w:noProof/>
          </w:rPr>
          <w:t>2</w:t>
        </w:r>
        <w:r w:rsidRPr="004F3F42">
          <w:rPr>
            <w:rFonts w:asciiTheme="minorHAnsi" w:hAnsiTheme="minorHAnsi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97D94"/>
    <w:multiLevelType w:val="hybridMultilevel"/>
    <w:tmpl w:val="B84603F0"/>
    <w:lvl w:ilvl="0" w:tplc="B6CC5A0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A63AB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0"/>
  </w:num>
  <w:num w:numId="17">
    <w:abstractNumId w:val="23"/>
  </w:num>
  <w:num w:numId="18">
    <w:abstractNumId w:val="9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3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304B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37FD8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3F42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E4B27"/>
    <w:rsid w:val="006F386E"/>
    <w:rsid w:val="00716862"/>
    <w:rsid w:val="00725573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01025"/>
    <w:rsid w:val="00B50E80"/>
    <w:rsid w:val="00B9515C"/>
    <w:rsid w:val="00B9710A"/>
    <w:rsid w:val="00BA796F"/>
    <w:rsid w:val="00BD3825"/>
    <w:rsid w:val="00BF4B24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3D94"/>
    <w:rsid w:val="00E36492"/>
    <w:rsid w:val="00E4517E"/>
    <w:rsid w:val="00E52EE4"/>
    <w:rsid w:val="00E82C80"/>
    <w:rsid w:val="00EA2621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CELEX:31992L0043:EN: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3B56-F065-43D6-B3FA-93F535F9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konkursu: Analiza zgodności projektu z polityką ochrony środowiska</vt:lpstr>
    </vt:vector>
  </TitlesOfParts>
  <Company>Microsoft</Company>
  <LinksUpToDate>false</LinksUpToDate>
  <CharactersWithSpaces>7809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konkursu: Analiza zgodności projektu z polityką ochrony środowiska</dc:title>
  <dc:subject>Załącznik nr 7 do Regulaminu konkursu: Analiza zgodności projektu z polityką ochrony środowiska</dc:subject>
  <cp:keywords>PL, PARP</cp:keywords>
  <cp:lastModifiedBy>Skowera Paweł</cp:lastModifiedBy>
  <cp:revision>7</cp:revision>
  <cp:lastPrinted>2017-01-05T07:28:00Z</cp:lastPrinted>
  <dcterms:created xsi:type="dcterms:W3CDTF">2017-01-05T13:21:00Z</dcterms:created>
  <dcterms:modified xsi:type="dcterms:W3CDTF">2019-08-29T10:00:00Z</dcterms:modified>
</cp:coreProperties>
</file>