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DC0E2" w14:textId="6F572B4B" w:rsidR="00B13F55" w:rsidRPr="00CE6025" w:rsidRDefault="00B13F55" w:rsidP="00B13F55">
      <w:pPr>
        <w:jc w:val="right"/>
        <w:rPr>
          <w:i/>
          <w:color w:val="000000" w:themeColor="text1"/>
        </w:rPr>
      </w:pPr>
      <w:bookmarkStart w:id="0" w:name="_GoBack"/>
      <w:bookmarkEnd w:id="0"/>
      <w:r w:rsidRPr="00CE6025">
        <w:rPr>
          <w:i/>
        </w:rPr>
        <w:t xml:space="preserve">Załącznik nr </w:t>
      </w:r>
      <w:r w:rsidR="008C1F93" w:rsidRPr="00CE6025">
        <w:rPr>
          <w:i/>
        </w:rPr>
        <w:t>9</w:t>
      </w:r>
      <w:r w:rsidRPr="00CE6025">
        <w:rPr>
          <w:i/>
        </w:rPr>
        <w:t xml:space="preserve"> do Regulaminu </w:t>
      </w:r>
      <w:r w:rsidRPr="00CE6025">
        <w:rPr>
          <w:i/>
          <w:color w:val="000000" w:themeColor="text1"/>
        </w:rPr>
        <w:t xml:space="preserve">konkursu </w:t>
      </w:r>
    </w:p>
    <w:p w14:paraId="5F4D94C9" w14:textId="77777777" w:rsidR="000033F0" w:rsidRPr="000033F0" w:rsidRDefault="000033F0" w:rsidP="000033F0">
      <w:pPr>
        <w:pStyle w:val="Akapitzlist"/>
        <w:ind w:left="360"/>
        <w:jc w:val="both"/>
        <w:rPr>
          <w:rFonts w:ascii="Calibri" w:hAnsi="Calibri"/>
          <w:b/>
        </w:rPr>
      </w:pPr>
    </w:p>
    <w:p w14:paraId="3E51D86F" w14:textId="77777777" w:rsidR="000033F0" w:rsidRPr="000033F0" w:rsidRDefault="000033F0" w:rsidP="000033F0">
      <w:pPr>
        <w:pStyle w:val="Akapitzlist"/>
        <w:ind w:left="360"/>
        <w:jc w:val="center"/>
        <w:rPr>
          <w:rFonts w:ascii="Calibri" w:hAnsi="Calibri"/>
          <w:b/>
          <w:sz w:val="28"/>
          <w:szCs w:val="28"/>
        </w:rPr>
      </w:pPr>
      <w:r w:rsidRPr="000033F0">
        <w:rPr>
          <w:rFonts w:ascii="Calibri" w:hAnsi="Calibri"/>
          <w:b/>
          <w:sz w:val="28"/>
          <w:szCs w:val="28"/>
        </w:rPr>
        <w:t>Kryteria zatwierdzone przez Komitet Monitorujący POWER</w:t>
      </w:r>
    </w:p>
    <w:p w14:paraId="64E8E600" w14:textId="77777777" w:rsidR="000033F0" w:rsidRPr="000033F0" w:rsidRDefault="000033F0" w:rsidP="000033F0">
      <w:pPr>
        <w:jc w:val="both"/>
        <w:rPr>
          <w:rFonts w:ascii="Calibri" w:hAnsi="Calibri"/>
          <w:b/>
          <w:sz w:val="24"/>
          <w:szCs w:val="24"/>
        </w:rPr>
      </w:pPr>
    </w:p>
    <w:p w14:paraId="55CC795F" w14:textId="77777777" w:rsidR="000609A1" w:rsidRPr="000033F0" w:rsidRDefault="000609A1" w:rsidP="00F44190">
      <w:pPr>
        <w:pStyle w:val="Akapitzlist"/>
        <w:ind w:left="360"/>
        <w:jc w:val="both"/>
        <w:rPr>
          <w:rFonts w:ascii="Calibri" w:hAnsi="Calibri"/>
          <w:sz w:val="20"/>
          <w:szCs w:val="20"/>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041"/>
      </w:tblGrid>
      <w:tr w:rsidR="000609A1" w:rsidRPr="00D5196C" w14:paraId="40752328" w14:textId="77777777" w:rsidTr="000033F0">
        <w:trPr>
          <w:trHeight w:val="561"/>
        </w:trPr>
        <w:tc>
          <w:tcPr>
            <w:tcW w:w="567" w:type="dxa"/>
            <w:shd w:val="clear" w:color="auto" w:fill="auto"/>
            <w:vAlign w:val="center"/>
          </w:tcPr>
          <w:p w14:paraId="20591684" w14:textId="77777777" w:rsidR="000609A1" w:rsidRPr="00D5196C" w:rsidRDefault="000609A1" w:rsidP="00895AC9">
            <w:pPr>
              <w:spacing w:after="0"/>
              <w:jc w:val="center"/>
              <w:rPr>
                <w:rFonts w:ascii="Calibri" w:eastAsia="Calibri" w:hAnsi="Calibri" w:cs="Arial"/>
                <w:b/>
                <w:i/>
                <w:sz w:val="20"/>
                <w:szCs w:val="20"/>
              </w:rPr>
            </w:pPr>
            <w:r w:rsidRPr="00D5196C">
              <w:rPr>
                <w:rFonts w:ascii="Calibri" w:eastAsia="Calibri" w:hAnsi="Calibri" w:cs="Arial"/>
                <w:b/>
                <w:i/>
                <w:sz w:val="20"/>
                <w:szCs w:val="20"/>
              </w:rPr>
              <w:t>Lp.</w:t>
            </w:r>
          </w:p>
        </w:tc>
        <w:tc>
          <w:tcPr>
            <w:tcW w:w="13041" w:type="dxa"/>
            <w:tcBorders>
              <w:top w:val="single" w:sz="4" w:space="0" w:color="auto"/>
              <w:bottom w:val="single" w:sz="4" w:space="0" w:color="auto"/>
            </w:tcBorders>
            <w:shd w:val="clear" w:color="auto" w:fill="auto"/>
            <w:vAlign w:val="center"/>
          </w:tcPr>
          <w:p w14:paraId="14C19A1A" w14:textId="77777777" w:rsidR="007660E1" w:rsidRDefault="007660E1" w:rsidP="00895AC9">
            <w:pPr>
              <w:spacing w:after="0"/>
              <w:jc w:val="center"/>
              <w:rPr>
                <w:rFonts w:ascii="Calibri" w:eastAsia="Calibri" w:hAnsi="Calibri" w:cs="Arial"/>
                <w:b/>
                <w:i/>
                <w:sz w:val="24"/>
                <w:szCs w:val="24"/>
              </w:rPr>
            </w:pPr>
          </w:p>
          <w:p w14:paraId="62418A3F" w14:textId="23145892" w:rsidR="000609A1" w:rsidRDefault="000609A1" w:rsidP="00895AC9">
            <w:pPr>
              <w:spacing w:after="0"/>
              <w:jc w:val="center"/>
              <w:rPr>
                <w:rFonts w:ascii="Calibri" w:eastAsia="Calibri" w:hAnsi="Calibri" w:cs="Calibri"/>
                <w:b/>
                <w:i/>
                <w:sz w:val="24"/>
                <w:szCs w:val="24"/>
              </w:rPr>
            </w:pPr>
            <w:r w:rsidRPr="007660E1">
              <w:rPr>
                <w:rFonts w:ascii="Calibri" w:eastAsia="Calibri" w:hAnsi="Calibri" w:cs="Arial"/>
                <w:b/>
                <w:i/>
                <w:sz w:val="24"/>
                <w:szCs w:val="24"/>
              </w:rPr>
              <w:t xml:space="preserve">Kryteria </w:t>
            </w:r>
            <w:r w:rsidRPr="007660E1">
              <w:rPr>
                <w:rFonts w:ascii="Calibri" w:eastAsia="Calibri" w:hAnsi="Calibri" w:cs="Calibri"/>
                <w:b/>
                <w:i/>
                <w:sz w:val="24"/>
                <w:szCs w:val="24"/>
              </w:rPr>
              <w:t xml:space="preserve">dostępu weryfikowane na etapie oceny </w:t>
            </w:r>
            <w:r w:rsidR="003B0668">
              <w:rPr>
                <w:rFonts w:ascii="Calibri" w:eastAsia="Calibri" w:hAnsi="Calibri" w:cs="Calibri"/>
                <w:b/>
                <w:i/>
                <w:sz w:val="24"/>
                <w:szCs w:val="24"/>
              </w:rPr>
              <w:t xml:space="preserve">merytorycznej </w:t>
            </w:r>
          </w:p>
          <w:p w14:paraId="07617293" w14:textId="77777777" w:rsidR="007660E1" w:rsidRPr="007660E1" w:rsidRDefault="007660E1" w:rsidP="00895AC9">
            <w:pPr>
              <w:spacing w:after="0"/>
              <w:jc w:val="center"/>
              <w:rPr>
                <w:rFonts w:ascii="Calibri" w:eastAsia="Calibri" w:hAnsi="Calibri" w:cs="Arial"/>
                <w:b/>
                <w:i/>
                <w:sz w:val="24"/>
                <w:szCs w:val="24"/>
              </w:rPr>
            </w:pPr>
          </w:p>
        </w:tc>
      </w:tr>
      <w:tr w:rsidR="00D5196C" w:rsidRPr="00D5196C" w14:paraId="41A53254" w14:textId="77777777" w:rsidTr="000033F0">
        <w:tc>
          <w:tcPr>
            <w:tcW w:w="567" w:type="dxa"/>
            <w:shd w:val="clear" w:color="auto" w:fill="auto"/>
            <w:vAlign w:val="center"/>
          </w:tcPr>
          <w:p w14:paraId="68D28062" w14:textId="77777777" w:rsidR="000609A1" w:rsidRPr="007660E1" w:rsidRDefault="000609A1" w:rsidP="00895AC9">
            <w:pPr>
              <w:spacing w:after="0" w:line="240" w:lineRule="exact"/>
              <w:jc w:val="center"/>
              <w:rPr>
                <w:rFonts w:ascii="Calibri" w:eastAsia="Calibri" w:hAnsi="Calibri" w:cs="Arial"/>
                <w:color w:val="000000" w:themeColor="text1"/>
                <w:sz w:val="20"/>
                <w:szCs w:val="20"/>
              </w:rPr>
            </w:pPr>
            <w:r w:rsidRPr="007660E1">
              <w:rPr>
                <w:rFonts w:ascii="Calibri" w:eastAsia="Calibri" w:hAnsi="Calibri" w:cs="Arial"/>
                <w:color w:val="000000" w:themeColor="text1"/>
                <w:sz w:val="20"/>
                <w:szCs w:val="20"/>
              </w:rPr>
              <w:t>1.</w:t>
            </w:r>
          </w:p>
        </w:tc>
        <w:tc>
          <w:tcPr>
            <w:tcW w:w="13041" w:type="dxa"/>
            <w:tcBorders>
              <w:top w:val="single" w:sz="4" w:space="0" w:color="auto"/>
              <w:bottom w:val="single" w:sz="4" w:space="0" w:color="auto"/>
            </w:tcBorders>
            <w:shd w:val="clear" w:color="auto" w:fill="auto"/>
          </w:tcPr>
          <w:p w14:paraId="56DC1C05" w14:textId="77777777" w:rsidR="00326BD8" w:rsidRPr="00FD216E" w:rsidRDefault="00326BD8" w:rsidP="00FD216E">
            <w:pPr>
              <w:spacing w:before="120" w:after="120"/>
              <w:ind w:left="57"/>
              <w:rPr>
                <w:rFonts w:ascii="Arial" w:hAnsi="Arial" w:cs="Arial"/>
                <w:b/>
                <w:sz w:val="18"/>
                <w:szCs w:val="18"/>
              </w:rPr>
            </w:pPr>
            <w:r w:rsidRPr="00FD216E">
              <w:rPr>
                <w:rFonts w:ascii="Arial" w:hAnsi="Arial" w:cs="Arial"/>
                <w:b/>
                <w:sz w:val="18"/>
                <w:szCs w:val="18"/>
              </w:rPr>
              <w:t xml:space="preserve">W projekcie wsparcie udzielane przedsiębiorcom i ich pracownikom polega na: </w:t>
            </w:r>
          </w:p>
          <w:p w14:paraId="552BDE75" w14:textId="696C946D" w:rsidR="00326BD8" w:rsidRPr="00FD216E" w:rsidRDefault="00326BD8" w:rsidP="00326BD8">
            <w:pPr>
              <w:numPr>
                <w:ilvl w:val="1"/>
                <w:numId w:val="9"/>
              </w:numPr>
              <w:spacing w:before="120" w:after="120"/>
              <w:rPr>
                <w:rFonts w:ascii="Arial" w:hAnsi="Arial" w:cs="Arial"/>
                <w:b/>
                <w:sz w:val="18"/>
                <w:szCs w:val="18"/>
              </w:rPr>
            </w:pPr>
            <w:r w:rsidRPr="00FD216E">
              <w:rPr>
                <w:rFonts w:ascii="Arial" w:hAnsi="Arial" w:cs="Arial"/>
                <w:b/>
                <w:sz w:val="18"/>
                <w:szCs w:val="18"/>
              </w:rPr>
              <w:t xml:space="preserve">współfinansowaniu analizy potrzeb rozwojowych </w:t>
            </w:r>
            <w:r w:rsidR="00C67297">
              <w:rPr>
                <w:rFonts w:ascii="Arial" w:hAnsi="Arial" w:cs="Arial"/>
                <w:b/>
                <w:sz w:val="18"/>
                <w:szCs w:val="18"/>
              </w:rPr>
              <w:t>MŚP</w:t>
            </w:r>
            <w:r w:rsidRPr="00FD216E">
              <w:rPr>
                <w:rFonts w:ascii="Arial" w:hAnsi="Arial" w:cs="Arial"/>
                <w:b/>
                <w:sz w:val="18"/>
                <w:szCs w:val="18"/>
              </w:rPr>
              <w:t xml:space="preserve">, o ile przedsiębiorstwo nie dysponuje taką analizą, oraz opartej na niej analizy potrzeb rozwojowych kadry menadżerskiej lub pracowników </w:t>
            </w:r>
            <w:r w:rsidR="00C67297">
              <w:rPr>
                <w:rFonts w:ascii="Arial" w:hAnsi="Arial" w:cs="Arial"/>
                <w:b/>
                <w:sz w:val="18"/>
                <w:szCs w:val="18"/>
              </w:rPr>
              <w:t>MŚP</w:t>
            </w:r>
            <w:r w:rsidRPr="00FD216E">
              <w:rPr>
                <w:rFonts w:ascii="Arial" w:hAnsi="Arial" w:cs="Arial"/>
                <w:b/>
                <w:sz w:val="18"/>
                <w:szCs w:val="18"/>
              </w:rPr>
              <w:t xml:space="preserve"> przewidzianych do objęcia stanowiska kierowniczego. Wybór usługodawcy analizy potrzeb rozwojowych następuje za pośrednictwem Bazy Usług Rozwojowych przy wsparciu wnioskodawcy lub partnera (o ile występuje). Wykonawcą usługi nie może być wnioskodawca lub partner (o ile występuje);</w:t>
            </w:r>
          </w:p>
          <w:p w14:paraId="208DBBFE" w14:textId="0586F850" w:rsidR="00326BD8" w:rsidRPr="00665A0F" w:rsidRDefault="00326BD8" w:rsidP="00665A0F">
            <w:pPr>
              <w:numPr>
                <w:ilvl w:val="1"/>
                <w:numId w:val="9"/>
              </w:numPr>
              <w:spacing w:before="120" w:after="120"/>
              <w:rPr>
                <w:rFonts w:ascii="Arial" w:hAnsi="Arial" w:cs="Arial"/>
                <w:b/>
                <w:sz w:val="18"/>
                <w:szCs w:val="18"/>
              </w:rPr>
            </w:pPr>
            <w:r w:rsidRPr="00FD216E">
              <w:rPr>
                <w:rFonts w:ascii="Arial" w:hAnsi="Arial" w:cs="Arial"/>
                <w:b/>
                <w:sz w:val="18"/>
                <w:szCs w:val="18"/>
              </w:rPr>
              <w:t xml:space="preserve">współfinansowaniu usług rozwojowych dla kadry menadżerskiej lub pracowników </w:t>
            </w:r>
            <w:r w:rsidR="00C67297">
              <w:rPr>
                <w:rFonts w:ascii="Arial" w:hAnsi="Arial" w:cs="Arial"/>
                <w:b/>
                <w:sz w:val="18"/>
                <w:szCs w:val="18"/>
              </w:rPr>
              <w:t>MŚP</w:t>
            </w:r>
            <w:r w:rsidRPr="00FD216E">
              <w:rPr>
                <w:rFonts w:ascii="Arial" w:hAnsi="Arial" w:cs="Arial"/>
                <w:b/>
                <w:sz w:val="18"/>
                <w:szCs w:val="18"/>
              </w:rPr>
              <w:t xml:space="preserve"> przewidzianych do objęcia stanowiska kierowniczego, których pot</w:t>
            </w:r>
            <w:r w:rsidR="00A45764">
              <w:rPr>
                <w:rFonts w:ascii="Arial" w:hAnsi="Arial" w:cs="Arial"/>
                <w:b/>
                <w:sz w:val="18"/>
                <w:szCs w:val="18"/>
              </w:rPr>
              <w:t>rzeba wynika z analiz z punktu 1</w:t>
            </w:r>
            <w:r w:rsidRPr="00FD216E">
              <w:rPr>
                <w:rFonts w:ascii="Arial" w:hAnsi="Arial" w:cs="Arial"/>
                <w:b/>
                <w:sz w:val="18"/>
                <w:szCs w:val="18"/>
              </w:rPr>
              <w:t>). Wybór usługodawcy następuje za pośrednictwem Bazy Usług Rozwojowych przy wsparciu wnioskodawcy lub partnera (o ile występuje). Wykonawcą usługi nie może być wnioskodawca lub partner (o ile występuje).</w:t>
            </w:r>
          </w:p>
          <w:p w14:paraId="6DFA97FA" w14:textId="3F55F00A" w:rsidR="000609A1" w:rsidRPr="007660E1" w:rsidRDefault="00326BD8" w:rsidP="00665A0F">
            <w:pPr>
              <w:spacing w:before="40" w:after="40" w:line="240" w:lineRule="exact"/>
              <w:jc w:val="both"/>
              <w:rPr>
                <w:rFonts w:ascii="Calibri" w:eastAsia="Calibri" w:hAnsi="Calibri" w:cs="Arial"/>
                <w:i/>
                <w:color w:val="000000" w:themeColor="text1"/>
                <w:sz w:val="20"/>
                <w:szCs w:val="20"/>
              </w:rPr>
            </w:pPr>
            <w:r w:rsidRPr="00F907D0">
              <w:rPr>
                <w:rFonts w:ascii="Calibri" w:eastAsia="Calibri" w:hAnsi="Calibri" w:cs="Arial"/>
                <w:i/>
                <w:color w:val="000000" w:themeColor="text1"/>
                <w:sz w:val="20"/>
                <w:szCs w:val="20"/>
              </w:rPr>
              <w:t>Ocena dokonywana będzie na podstawi</w:t>
            </w:r>
            <w:r w:rsidR="00FD216E">
              <w:rPr>
                <w:rFonts w:ascii="Calibri" w:eastAsia="Calibri" w:hAnsi="Calibri" w:cs="Arial"/>
                <w:i/>
                <w:color w:val="000000" w:themeColor="text1"/>
                <w:sz w:val="20"/>
                <w:szCs w:val="20"/>
              </w:rPr>
              <w:t xml:space="preserve">e informacji zawartych w następujących częściach wniosku o dofinansowanie: III – punkt </w:t>
            </w:r>
            <w:r w:rsidR="00FD216E" w:rsidRPr="00C307C7">
              <w:rPr>
                <w:rFonts w:ascii="Arial" w:hAnsi="Arial" w:cs="Arial"/>
                <w:i/>
                <w:sz w:val="18"/>
                <w:szCs w:val="18"/>
              </w:rPr>
              <w:t xml:space="preserve">3.2 </w:t>
            </w:r>
            <w:r w:rsidR="00FD216E">
              <w:rPr>
                <w:rFonts w:ascii="Arial" w:hAnsi="Arial" w:cs="Arial"/>
                <w:i/>
                <w:sz w:val="18"/>
                <w:szCs w:val="18"/>
              </w:rPr>
              <w:t xml:space="preserve">oraz </w:t>
            </w:r>
            <w:r w:rsidR="00FD216E">
              <w:rPr>
                <w:rFonts w:ascii="Calibri" w:eastAsia="Calibri" w:hAnsi="Calibri" w:cs="Arial"/>
                <w:i/>
                <w:color w:val="000000" w:themeColor="text1"/>
                <w:sz w:val="20"/>
                <w:szCs w:val="20"/>
              </w:rPr>
              <w:t xml:space="preserve">punkt </w:t>
            </w:r>
            <w:r w:rsidRPr="00C307C7">
              <w:rPr>
                <w:rFonts w:ascii="Arial" w:hAnsi="Arial" w:cs="Arial"/>
                <w:i/>
                <w:sz w:val="18"/>
                <w:szCs w:val="18"/>
              </w:rPr>
              <w:t xml:space="preserve">3.4  i </w:t>
            </w:r>
            <w:r w:rsidR="00FD216E">
              <w:rPr>
                <w:rFonts w:ascii="Arial" w:hAnsi="Arial" w:cs="Arial"/>
                <w:i/>
                <w:sz w:val="18"/>
                <w:szCs w:val="18"/>
              </w:rPr>
              <w:t xml:space="preserve">IV punkt </w:t>
            </w:r>
            <w:r w:rsidRPr="00C307C7">
              <w:rPr>
                <w:rFonts w:ascii="Arial" w:hAnsi="Arial" w:cs="Arial"/>
                <w:i/>
                <w:sz w:val="18"/>
                <w:szCs w:val="18"/>
              </w:rPr>
              <w:t>4.1</w:t>
            </w:r>
          </w:p>
        </w:tc>
      </w:tr>
      <w:tr w:rsidR="00D5196C" w:rsidRPr="00D5196C" w14:paraId="0D4D92EB" w14:textId="77777777" w:rsidTr="000033F0">
        <w:tc>
          <w:tcPr>
            <w:tcW w:w="567" w:type="dxa"/>
            <w:shd w:val="clear" w:color="auto" w:fill="auto"/>
            <w:vAlign w:val="center"/>
          </w:tcPr>
          <w:p w14:paraId="7988988E" w14:textId="77777777" w:rsidR="000609A1" w:rsidRPr="007660E1" w:rsidDel="008F7DE6" w:rsidRDefault="000609A1" w:rsidP="00895AC9">
            <w:pPr>
              <w:spacing w:after="0" w:line="240" w:lineRule="exact"/>
              <w:jc w:val="center"/>
              <w:rPr>
                <w:rFonts w:ascii="Calibri" w:eastAsia="Calibri" w:hAnsi="Calibri" w:cs="Arial"/>
                <w:color w:val="000000" w:themeColor="text1"/>
                <w:sz w:val="20"/>
                <w:szCs w:val="20"/>
              </w:rPr>
            </w:pPr>
            <w:r w:rsidRPr="007660E1">
              <w:rPr>
                <w:rFonts w:ascii="Calibri" w:eastAsia="Calibri" w:hAnsi="Calibri" w:cs="Arial"/>
                <w:color w:val="000000" w:themeColor="text1"/>
                <w:sz w:val="20"/>
                <w:szCs w:val="20"/>
              </w:rPr>
              <w:t>2.</w:t>
            </w:r>
          </w:p>
        </w:tc>
        <w:tc>
          <w:tcPr>
            <w:tcW w:w="13041" w:type="dxa"/>
            <w:tcBorders>
              <w:top w:val="single" w:sz="4" w:space="0" w:color="auto"/>
              <w:bottom w:val="single" w:sz="4" w:space="0" w:color="auto"/>
            </w:tcBorders>
            <w:shd w:val="clear" w:color="auto" w:fill="auto"/>
          </w:tcPr>
          <w:p w14:paraId="0ADE7F37" w14:textId="77777777" w:rsidR="00FD216E" w:rsidRDefault="00FD216E" w:rsidP="00FD216E">
            <w:pPr>
              <w:spacing w:before="120" w:after="120"/>
              <w:ind w:left="57"/>
              <w:rPr>
                <w:rFonts w:ascii="Arial" w:hAnsi="Arial" w:cs="Arial"/>
                <w:b/>
                <w:sz w:val="18"/>
                <w:szCs w:val="18"/>
              </w:rPr>
            </w:pPr>
            <w:r w:rsidRPr="00FD216E">
              <w:rPr>
                <w:rFonts w:ascii="Arial" w:hAnsi="Arial" w:cs="Arial"/>
                <w:b/>
                <w:sz w:val="18"/>
                <w:szCs w:val="18"/>
              </w:rPr>
              <w:t>Okres realizacji projektu nie przekracza 48 miesięcy, a projekt rozpoczyna się nie później niż 3 miesiące od daty rozstrzygnięcia konkursu.</w:t>
            </w:r>
          </w:p>
          <w:p w14:paraId="30C7D8AC" w14:textId="529A427E" w:rsidR="00847BBB" w:rsidRPr="00FD216E" w:rsidRDefault="00847BBB" w:rsidP="00FD216E">
            <w:pPr>
              <w:spacing w:before="120" w:after="120"/>
              <w:ind w:left="57"/>
              <w:rPr>
                <w:rFonts w:ascii="Arial" w:hAnsi="Arial" w:cs="Arial"/>
                <w:b/>
                <w:sz w:val="18"/>
                <w:szCs w:val="18"/>
              </w:rPr>
            </w:pPr>
            <w:r>
              <w:rPr>
                <w:rFonts w:ascii="Arial" w:hAnsi="Arial" w:cs="Arial"/>
                <w:sz w:val="18"/>
                <w:szCs w:val="18"/>
              </w:rPr>
              <w:t>W szczególnie uzasadnionych przypadkach, na wniosek beneficjenta i za zgodą IOK będzie istniała możliwość zmiany okresu realizacji projektu poza limit określony w kryterium, jeśli w opinii IOK taka zmiana przyczyni się do osiągnięcia założeń projektu i umożliwi rozliczenie projektu w wymaganym przez IOK terminie.</w:t>
            </w:r>
          </w:p>
          <w:p w14:paraId="1C4E9241" w14:textId="600F3D5B" w:rsidR="000609A1" w:rsidRPr="002506BD" w:rsidRDefault="00FD216E" w:rsidP="00895AC9">
            <w:pPr>
              <w:spacing w:before="40" w:after="40" w:line="240" w:lineRule="exact"/>
              <w:jc w:val="both"/>
              <w:rPr>
                <w:rFonts w:ascii="Calibri" w:eastAsia="Calibri" w:hAnsi="Calibri" w:cs="Arial"/>
                <w:color w:val="000000" w:themeColor="text1"/>
                <w:sz w:val="20"/>
                <w:szCs w:val="20"/>
                <w:lang w:eastAsia="pl-PL"/>
              </w:rPr>
            </w:pPr>
            <w:r w:rsidRPr="00F907D0">
              <w:rPr>
                <w:rFonts w:ascii="Calibri" w:eastAsia="Calibri" w:hAnsi="Calibri" w:cs="Arial"/>
                <w:i/>
                <w:color w:val="000000" w:themeColor="text1"/>
                <w:sz w:val="20"/>
                <w:szCs w:val="20"/>
              </w:rPr>
              <w:t>Ocena dokonywana będzie na podstawie informacji zawartej w części I pkt 1.7 wniosku o dofinansowanie projektu.</w:t>
            </w:r>
          </w:p>
        </w:tc>
      </w:tr>
      <w:tr w:rsidR="00D5196C" w:rsidRPr="00D5196C" w14:paraId="726B536F" w14:textId="77777777" w:rsidTr="000033F0">
        <w:tc>
          <w:tcPr>
            <w:tcW w:w="567" w:type="dxa"/>
            <w:shd w:val="clear" w:color="auto" w:fill="auto"/>
            <w:vAlign w:val="center"/>
          </w:tcPr>
          <w:p w14:paraId="740A09E6" w14:textId="77777777" w:rsidR="000609A1" w:rsidRPr="007660E1" w:rsidDel="008F7DE6" w:rsidRDefault="000609A1" w:rsidP="00895AC9">
            <w:pPr>
              <w:spacing w:after="0" w:line="240" w:lineRule="exact"/>
              <w:jc w:val="center"/>
              <w:rPr>
                <w:rFonts w:ascii="Calibri" w:eastAsia="Calibri" w:hAnsi="Calibri" w:cs="Arial"/>
                <w:color w:val="000000" w:themeColor="text1"/>
                <w:sz w:val="20"/>
                <w:szCs w:val="20"/>
              </w:rPr>
            </w:pPr>
            <w:r w:rsidRPr="007660E1">
              <w:rPr>
                <w:rFonts w:ascii="Calibri" w:eastAsia="Calibri" w:hAnsi="Calibri" w:cs="Arial"/>
                <w:color w:val="000000" w:themeColor="text1"/>
                <w:sz w:val="20"/>
                <w:szCs w:val="20"/>
              </w:rPr>
              <w:t>3.</w:t>
            </w:r>
          </w:p>
        </w:tc>
        <w:tc>
          <w:tcPr>
            <w:tcW w:w="13041" w:type="dxa"/>
            <w:tcBorders>
              <w:top w:val="single" w:sz="4" w:space="0" w:color="auto"/>
              <w:bottom w:val="single" w:sz="4" w:space="0" w:color="auto"/>
            </w:tcBorders>
            <w:shd w:val="clear" w:color="auto" w:fill="auto"/>
          </w:tcPr>
          <w:p w14:paraId="57432875" w14:textId="77777777" w:rsidR="00FD216E" w:rsidRPr="00FD216E" w:rsidRDefault="00FD216E" w:rsidP="001712A1">
            <w:pPr>
              <w:spacing w:before="40" w:after="40" w:line="240" w:lineRule="exact"/>
              <w:jc w:val="both"/>
              <w:rPr>
                <w:rFonts w:ascii="Arial" w:hAnsi="Arial" w:cs="Arial"/>
                <w:b/>
                <w:sz w:val="18"/>
                <w:szCs w:val="18"/>
              </w:rPr>
            </w:pPr>
            <w:bookmarkStart w:id="1" w:name="_Toc412466340"/>
            <w:bookmarkStart w:id="2" w:name="_Toc412459886"/>
            <w:r w:rsidRPr="00FD216E">
              <w:rPr>
                <w:rFonts w:ascii="Arial" w:hAnsi="Arial" w:cs="Arial"/>
                <w:b/>
                <w:sz w:val="18"/>
                <w:szCs w:val="18"/>
              </w:rPr>
              <w:t>Jeden podmiot może wystąpić w ramach konkursu - jako wnioskodawca albo partner - nie więcej niż 1 raz we wnioskach o dofinansowanie złożonych w konkursie.</w:t>
            </w:r>
            <w:bookmarkEnd w:id="1"/>
            <w:bookmarkEnd w:id="2"/>
          </w:p>
          <w:p w14:paraId="7B4A74AF" w14:textId="08568CFE" w:rsidR="000609A1" w:rsidRPr="002506BD" w:rsidRDefault="00506410" w:rsidP="001712A1">
            <w:pPr>
              <w:spacing w:before="40" w:after="40" w:line="240" w:lineRule="exact"/>
              <w:jc w:val="both"/>
              <w:rPr>
                <w:rFonts w:ascii="Calibri" w:eastAsia="Calibri" w:hAnsi="Calibri" w:cs="Arial"/>
                <w:i/>
                <w:color w:val="000000" w:themeColor="text1"/>
                <w:sz w:val="20"/>
                <w:szCs w:val="20"/>
              </w:rPr>
            </w:pPr>
            <w:r w:rsidRPr="00F907D0">
              <w:rPr>
                <w:rFonts w:ascii="Calibri" w:eastAsia="Calibri" w:hAnsi="Calibri" w:cs="Arial"/>
                <w:i/>
                <w:color w:val="000000" w:themeColor="text1"/>
                <w:sz w:val="20"/>
                <w:szCs w:val="20"/>
              </w:rPr>
              <w:t xml:space="preserve">Ocena dokonywana będzie na podstawie </w:t>
            </w:r>
            <w:r>
              <w:rPr>
                <w:rFonts w:ascii="Calibri" w:eastAsia="Calibri" w:hAnsi="Calibri" w:cs="Arial"/>
                <w:i/>
                <w:color w:val="000000" w:themeColor="text1"/>
                <w:sz w:val="20"/>
                <w:szCs w:val="20"/>
              </w:rPr>
              <w:t>informacji zawartej w części II</w:t>
            </w:r>
            <w:r w:rsidRPr="00F907D0">
              <w:rPr>
                <w:rFonts w:ascii="Calibri" w:eastAsia="Calibri" w:hAnsi="Calibri" w:cs="Arial"/>
                <w:i/>
                <w:color w:val="000000" w:themeColor="text1"/>
                <w:sz w:val="20"/>
                <w:szCs w:val="20"/>
              </w:rPr>
              <w:t xml:space="preserve"> pkt 2.1 i pkt 2.9 wniosku o dofinansowanie projektu i w oparciu o zestawienie złożonych wniosków o dofinansowanie przygotowanych przez PARP dla KOP.</w:t>
            </w:r>
          </w:p>
        </w:tc>
      </w:tr>
      <w:tr w:rsidR="00D5196C" w:rsidRPr="00D5196C" w14:paraId="6AAF00B7" w14:textId="77777777" w:rsidTr="000033F0">
        <w:tc>
          <w:tcPr>
            <w:tcW w:w="567" w:type="dxa"/>
            <w:shd w:val="clear" w:color="auto" w:fill="auto"/>
            <w:vAlign w:val="center"/>
          </w:tcPr>
          <w:p w14:paraId="1A6CBEE4" w14:textId="77777777" w:rsidR="000609A1" w:rsidRPr="007660E1" w:rsidRDefault="002506BD" w:rsidP="00895AC9">
            <w:pPr>
              <w:spacing w:after="0" w:line="240" w:lineRule="exact"/>
              <w:jc w:val="center"/>
              <w:rPr>
                <w:rFonts w:ascii="Calibri" w:eastAsia="Calibri" w:hAnsi="Calibri" w:cs="Arial"/>
                <w:color w:val="000000" w:themeColor="text1"/>
                <w:sz w:val="20"/>
                <w:szCs w:val="20"/>
              </w:rPr>
            </w:pPr>
            <w:r w:rsidRPr="007660E1">
              <w:rPr>
                <w:rFonts w:ascii="Calibri" w:eastAsia="Calibri" w:hAnsi="Calibri" w:cs="Arial"/>
                <w:color w:val="000000" w:themeColor="text1"/>
                <w:sz w:val="20"/>
                <w:szCs w:val="20"/>
              </w:rPr>
              <w:lastRenderedPageBreak/>
              <w:t>4.</w:t>
            </w:r>
          </w:p>
        </w:tc>
        <w:tc>
          <w:tcPr>
            <w:tcW w:w="13041" w:type="dxa"/>
            <w:tcBorders>
              <w:top w:val="single" w:sz="4" w:space="0" w:color="auto"/>
              <w:bottom w:val="single" w:sz="4" w:space="0" w:color="auto"/>
            </w:tcBorders>
            <w:shd w:val="clear" w:color="auto" w:fill="auto"/>
          </w:tcPr>
          <w:p w14:paraId="6185DB76" w14:textId="77777777" w:rsidR="008559CE" w:rsidRPr="008559CE" w:rsidRDefault="008559CE" w:rsidP="008559CE">
            <w:pPr>
              <w:spacing w:before="120" w:after="120"/>
              <w:ind w:left="57"/>
              <w:rPr>
                <w:rFonts w:ascii="Arial" w:hAnsi="Arial" w:cs="Arial"/>
                <w:b/>
                <w:sz w:val="18"/>
                <w:szCs w:val="18"/>
              </w:rPr>
            </w:pPr>
            <w:r w:rsidRPr="008559CE">
              <w:rPr>
                <w:rFonts w:ascii="Arial" w:hAnsi="Arial" w:cs="Arial"/>
                <w:b/>
                <w:sz w:val="18"/>
                <w:szCs w:val="18"/>
              </w:rPr>
              <w:t xml:space="preserve">Projekty zakładają osiągnięcie następujących minimalnych poziomów wskaźników produktu i rezultatu określonych dla konkursu: </w:t>
            </w:r>
          </w:p>
          <w:p w14:paraId="67411B3A" w14:textId="77777777" w:rsidR="008559CE" w:rsidRPr="008559CE" w:rsidRDefault="008559CE" w:rsidP="008559CE">
            <w:pPr>
              <w:numPr>
                <w:ilvl w:val="1"/>
                <w:numId w:val="11"/>
              </w:numPr>
              <w:spacing w:before="120" w:after="120"/>
              <w:rPr>
                <w:rFonts w:ascii="Arial" w:hAnsi="Arial" w:cs="Arial"/>
                <w:b/>
                <w:sz w:val="18"/>
                <w:szCs w:val="18"/>
              </w:rPr>
            </w:pPr>
            <w:r w:rsidRPr="008559CE">
              <w:rPr>
                <w:rFonts w:ascii="Arial" w:hAnsi="Arial" w:cs="Arial"/>
                <w:b/>
                <w:sz w:val="18"/>
                <w:szCs w:val="18"/>
              </w:rPr>
              <w:t xml:space="preserve">Makroregion nr 1 (Województwo: kujawsko-pomorskie; podlaskie; pomorskie; warmińsko-mazurskie): 16,63% przy maksymalnej wartości projektu nie przekraczającej kwoty: 9 642 500 mln zł  </w:t>
            </w:r>
          </w:p>
          <w:p w14:paraId="47BE6659" w14:textId="77777777" w:rsidR="008559CE" w:rsidRPr="008559CE" w:rsidRDefault="008559CE" w:rsidP="008559CE">
            <w:pPr>
              <w:numPr>
                <w:ilvl w:val="1"/>
                <w:numId w:val="11"/>
              </w:numPr>
              <w:spacing w:before="120" w:after="120"/>
              <w:rPr>
                <w:rFonts w:ascii="Arial" w:hAnsi="Arial" w:cs="Arial"/>
                <w:b/>
                <w:sz w:val="18"/>
                <w:szCs w:val="18"/>
              </w:rPr>
            </w:pPr>
            <w:r w:rsidRPr="008559CE">
              <w:rPr>
                <w:rFonts w:ascii="Arial" w:hAnsi="Arial" w:cs="Arial"/>
                <w:b/>
                <w:sz w:val="18"/>
                <w:szCs w:val="18"/>
              </w:rPr>
              <w:t>Makroregion nr 2 (Województwo: lubelskie; mazowieckie): 21,33% przy maksymalnej wartości projektu nie przekraczającej kwoty: 11 136 000 mln zł</w:t>
            </w:r>
          </w:p>
          <w:p w14:paraId="6E693BD9" w14:textId="77777777" w:rsidR="008559CE" w:rsidRPr="008559CE" w:rsidRDefault="008559CE" w:rsidP="008559CE">
            <w:pPr>
              <w:numPr>
                <w:ilvl w:val="1"/>
                <w:numId w:val="11"/>
              </w:numPr>
              <w:spacing w:before="120" w:after="120"/>
              <w:rPr>
                <w:rFonts w:ascii="Arial" w:hAnsi="Arial" w:cs="Arial"/>
                <w:b/>
                <w:sz w:val="18"/>
                <w:szCs w:val="18"/>
              </w:rPr>
            </w:pPr>
            <w:r w:rsidRPr="008559CE">
              <w:rPr>
                <w:rFonts w:ascii="Arial" w:hAnsi="Arial" w:cs="Arial"/>
                <w:b/>
                <w:sz w:val="18"/>
                <w:szCs w:val="18"/>
              </w:rPr>
              <w:t>Makroregion nr 3 (Województwo: małopolskie; podkarpackie; świętokrzyskie): 15,95% przy maksymalnej wartości projektu nie przekraczającej kwoty: 9 251 000 mln zł</w:t>
            </w:r>
          </w:p>
          <w:p w14:paraId="5629D3AA" w14:textId="77777777" w:rsidR="008559CE" w:rsidRPr="008559CE" w:rsidRDefault="008559CE" w:rsidP="008559CE">
            <w:pPr>
              <w:numPr>
                <w:ilvl w:val="1"/>
                <w:numId w:val="11"/>
              </w:numPr>
              <w:spacing w:before="120" w:after="120"/>
              <w:rPr>
                <w:rFonts w:ascii="Arial" w:hAnsi="Arial" w:cs="Arial"/>
                <w:b/>
                <w:sz w:val="18"/>
                <w:szCs w:val="18"/>
              </w:rPr>
            </w:pPr>
            <w:r w:rsidRPr="008559CE">
              <w:rPr>
                <w:rFonts w:ascii="Arial" w:hAnsi="Arial" w:cs="Arial"/>
                <w:b/>
                <w:sz w:val="18"/>
                <w:szCs w:val="18"/>
              </w:rPr>
              <w:t>Makroregion nr 4 (Województwo: łódzkie; opolskie; śląskie): 20,42% przy maksymalnej wartości projektu nie przekraczającej kwoty: 10 657 500 mln zł</w:t>
            </w:r>
          </w:p>
          <w:p w14:paraId="1DAA06E3" w14:textId="77777777" w:rsidR="008559CE" w:rsidRPr="008559CE" w:rsidRDefault="008559CE" w:rsidP="008559CE">
            <w:pPr>
              <w:numPr>
                <w:ilvl w:val="1"/>
                <w:numId w:val="11"/>
              </w:numPr>
              <w:spacing w:before="120" w:after="120"/>
              <w:rPr>
                <w:rFonts w:ascii="Arial" w:hAnsi="Arial" w:cs="Arial"/>
                <w:b/>
                <w:sz w:val="18"/>
                <w:szCs w:val="18"/>
              </w:rPr>
            </w:pPr>
            <w:r w:rsidRPr="008559CE">
              <w:rPr>
                <w:rFonts w:ascii="Arial" w:hAnsi="Arial" w:cs="Arial"/>
                <w:b/>
                <w:sz w:val="18"/>
                <w:szCs w:val="18"/>
              </w:rPr>
              <w:t>Makroregion nr 5 (Województwo dolnośląskie; lubuskie; zachodnio-pomorskie; wielkopolskie): 25,67% przy maksymalnej wartości projektu nie przekraczającej kwoty: 14 891 500 mln zł</w:t>
            </w:r>
          </w:p>
          <w:p w14:paraId="72976D1F" w14:textId="77777777" w:rsidR="008559CE" w:rsidRPr="008559CE" w:rsidRDefault="008559CE" w:rsidP="008559CE">
            <w:pPr>
              <w:spacing w:before="40" w:after="40" w:line="240" w:lineRule="exact"/>
              <w:jc w:val="both"/>
              <w:rPr>
                <w:rFonts w:ascii="Arial" w:hAnsi="Arial" w:cs="Arial"/>
                <w:b/>
                <w:sz w:val="18"/>
                <w:szCs w:val="18"/>
              </w:rPr>
            </w:pPr>
            <w:r w:rsidRPr="008559CE">
              <w:rPr>
                <w:rFonts w:ascii="Arial" w:hAnsi="Arial" w:cs="Arial"/>
                <w:b/>
                <w:sz w:val="18"/>
                <w:szCs w:val="18"/>
              </w:rPr>
              <w:t>Wskaźniki dotyczące województwa mazowieckiego nie mogą przekroczyć 13,6% wskaźników ogółem określonych dla konkursu.</w:t>
            </w:r>
          </w:p>
          <w:p w14:paraId="39B49644" w14:textId="1BAFD9F8" w:rsidR="002A5545" w:rsidRPr="00D5196C" w:rsidRDefault="002A5545" w:rsidP="00F907D0">
            <w:pPr>
              <w:spacing w:before="40" w:after="40" w:line="240" w:lineRule="exact"/>
              <w:jc w:val="both"/>
              <w:rPr>
                <w:rFonts w:ascii="Calibri" w:eastAsia="Calibri" w:hAnsi="Calibri" w:cs="Arial"/>
                <w:color w:val="FF0000"/>
                <w:sz w:val="20"/>
                <w:szCs w:val="20"/>
                <w:lang w:eastAsia="pl-PL"/>
              </w:rPr>
            </w:pPr>
          </w:p>
          <w:p w14:paraId="5FF59055" w14:textId="0B55A57F" w:rsidR="000609A1" w:rsidRPr="00D5196C" w:rsidRDefault="00F907D0" w:rsidP="00D75DCB">
            <w:pPr>
              <w:spacing w:before="40" w:after="40" w:line="240" w:lineRule="exact"/>
              <w:jc w:val="both"/>
              <w:rPr>
                <w:rFonts w:ascii="Calibri" w:eastAsia="Calibri" w:hAnsi="Calibri" w:cs="Arial"/>
                <w:color w:val="FF0000"/>
                <w:sz w:val="20"/>
                <w:szCs w:val="20"/>
                <w:lang w:eastAsia="pl-PL"/>
              </w:rPr>
            </w:pPr>
            <w:r w:rsidRPr="00F907D0">
              <w:rPr>
                <w:rFonts w:ascii="Calibri" w:eastAsia="Calibri" w:hAnsi="Calibri" w:cs="Arial"/>
                <w:i/>
                <w:color w:val="000000" w:themeColor="text1"/>
                <w:sz w:val="20"/>
                <w:szCs w:val="20"/>
              </w:rPr>
              <w:t>Ocena dokonywana będzie na podstawie informacji zawartych w części I</w:t>
            </w:r>
            <w:r w:rsidR="008559CE">
              <w:rPr>
                <w:rFonts w:ascii="Calibri" w:eastAsia="Calibri" w:hAnsi="Calibri" w:cs="Arial"/>
                <w:i/>
                <w:color w:val="000000" w:themeColor="text1"/>
                <w:sz w:val="20"/>
                <w:szCs w:val="20"/>
              </w:rPr>
              <w:t>II pkt 3.1.1 oraz w części V</w:t>
            </w:r>
            <w:r w:rsidRPr="00F907D0">
              <w:rPr>
                <w:rFonts w:ascii="Calibri" w:eastAsia="Calibri" w:hAnsi="Calibri" w:cs="Arial"/>
                <w:i/>
                <w:color w:val="000000" w:themeColor="text1"/>
                <w:sz w:val="20"/>
                <w:szCs w:val="20"/>
              </w:rPr>
              <w:t xml:space="preserve"> wniosku o dofinansowanie projektu.  </w:t>
            </w:r>
          </w:p>
        </w:tc>
      </w:tr>
      <w:tr w:rsidR="00D5196C" w:rsidRPr="00D5196C" w14:paraId="3E663DC1" w14:textId="77777777" w:rsidTr="000033F0">
        <w:tc>
          <w:tcPr>
            <w:tcW w:w="567" w:type="dxa"/>
            <w:shd w:val="clear" w:color="auto" w:fill="auto"/>
            <w:vAlign w:val="center"/>
          </w:tcPr>
          <w:p w14:paraId="56BB65A3" w14:textId="77777777" w:rsidR="000609A1" w:rsidRPr="007660E1" w:rsidRDefault="002506BD" w:rsidP="00895AC9">
            <w:pPr>
              <w:spacing w:after="0" w:line="240" w:lineRule="exact"/>
              <w:jc w:val="center"/>
              <w:rPr>
                <w:rFonts w:ascii="Calibri" w:eastAsia="Calibri" w:hAnsi="Calibri" w:cs="Arial"/>
                <w:color w:val="000000" w:themeColor="text1"/>
                <w:sz w:val="20"/>
                <w:szCs w:val="20"/>
              </w:rPr>
            </w:pPr>
            <w:r w:rsidRPr="007660E1">
              <w:rPr>
                <w:rFonts w:ascii="Calibri" w:eastAsia="Calibri" w:hAnsi="Calibri" w:cs="Arial"/>
                <w:color w:val="000000" w:themeColor="text1"/>
                <w:sz w:val="20"/>
                <w:szCs w:val="20"/>
              </w:rPr>
              <w:t>5.</w:t>
            </w:r>
          </w:p>
        </w:tc>
        <w:tc>
          <w:tcPr>
            <w:tcW w:w="13041" w:type="dxa"/>
            <w:tcBorders>
              <w:top w:val="single" w:sz="4" w:space="0" w:color="auto"/>
              <w:bottom w:val="single" w:sz="4" w:space="0" w:color="auto"/>
            </w:tcBorders>
            <w:shd w:val="clear" w:color="auto" w:fill="auto"/>
          </w:tcPr>
          <w:p w14:paraId="27E34E6E" w14:textId="77777777" w:rsidR="008559CE" w:rsidRPr="008559CE" w:rsidRDefault="008559CE" w:rsidP="008559CE">
            <w:pPr>
              <w:spacing w:before="120" w:after="120"/>
              <w:ind w:left="57"/>
              <w:rPr>
                <w:rFonts w:ascii="Arial" w:hAnsi="Arial" w:cs="Arial"/>
                <w:b/>
                <w:sz w:val="18"/>
                <w:szCs w:val="18"/>
              </w:rPr>
            </w:pPr>
            <w:r w:rsidRPr="008559CE">
              <w:rPr>
                <w:rFonts w:ascii="Arial" w:hAnsi="Arial" w:cs="Arial"/>
                <w:b/>
                <w:sz w:val="18"/>
                <w:szCs w:val="18"/>
              </w:rPr>
              <w:t xml:space="preserve">Wnioskodawca łącznie z partnerami (jeśli występują w projekcie) spełniają następujące warunki: </w:t>
            </w:r>
          </w:p>
          <w:p w14:paraId="56448C54" w14:textId="4449CC1F" w:rsidR="008559CE" w:rsidRPr="008559CE" w:rsidRDefault="008559CE" w:rsidP="008559CE">
            <w:pPr>
              <w:numPr>
                <w:ilvl w:val="1"/>
                <w:numId w:val="12"/>
              </w:numPr>
              <w:spacing w:before="120" w:after="120"/>
              <w:rPr>
                <w:rFonts w:ascii="Arial" w:hAnsi="Arial" w:cs="Arial"/>
                <w:b/>
                <w:sz w:val="18"/>
                <w:szCs w:val="18"/>
              </w:rPr>
            </w:pPr>
            <w:r w:rsidRPr="008559CE">
              <w:rPr>
                <w:rFonts w:ascii="Arial" w:hAnsi="Arial" w:cs="Arial"/>
                <w:b/>
                <w:sz w:val="18"/>
                <w:szCs w:val="18"/>
              </w:rPr>
              <w:t xml:space="preserve">legitymują się doświadczeniem w zarządzaniu i realizacji w ciągu ostatnich 5 lat projektów na rzecz </w:t>
            </w:r>
            <w:r w:rsidR="00C67297">
              <w:rPr>
                <w:rFonts w:ascii="Arial" w:hAnsi="Arial" w:cs="Arial"/>
                <w:b/>
                <w:sz w:val="18"/>
                <w:szCs w:val="18"/>
              </w:rPr>
              <w:t>MŚP</w:t>
            </w:r>
            <w:r w:rsidRPr="008559CE">
              <w:rPr>
                <w:rFonts w:ascii="Arial" w:hAnsi="Arial" w:cs="Arial"/>
                <w:b/>
                <w:sz w:val="18"/>
                <w:szCs w:val="18"/>
              </w:rPr>
              <w:t xml:space="preserve"> i ich pracowników, w których wsparciem objęto minimum 500 osób łącznie oraz</w:t>
            </w:r>
          </w:p>
          <w:p w14:paraId="1EC85F77" w14:textId="77777777" w:rsidR="008559CE" w:rsidRPr="008559CE" w:rsidRDefault="008559CE" w:rsidP="008559CE">
            <w:pPr>
              <w:numPr>
                <w:ilvl w:val="1"/>
                <w:numId w:val="12"/>
              </w:numPr>
              <w:spacing w:before="120" w:after="120"/>
              <w:rPr>
                <w:rFonts w:ascii="Arial" w:hAnsi="Arial" w:cs="Arial"/>
                <w:b/>
                <w:sz w:val="18"/>
                <w:szCs w:val="18"/>
              </w:rPr>
            </w:pPr>
            <w:r w:rsidRPr="008559CE">
              <w:rPr>
                <w:rFonts w:ascii="Arial" w:hAnsi="Arial" w:cs="Arial"/>
                <w:b/>
                <w:sz w:val="18"/>
                <w:szCs w:val="18"/>
              </w:rPr>
              <w:t>legitymują się doświadczeniem w udzielaniu pomocy publicznej przedsiębiorcom (min. 250 przedsiębiorców w okresie ostatnich 5 lat) oraz</w:t>
            </w:r>
          </w:p>
          <w:p w14:paraId="078765E3" w14:textId="74041B5C" w:rsidR="008559CE" w:rsidRPr="008559CE" w:rsidRDefault="008559CE" w:rsidP="008559CE">
            <w:pPr>
              <w:numPr>
                <w:ilvl w:val="1"/>
                <w:numId w:val="12"/>
              </w:numPr>
              <w:spacing w:before="120" w:after="120"/>
              <w:rPr>
                <w:rFonts w:ascii="Arial" w:hAnsi="Arial" w:cs="Arial"/>
                <w:b/>
                <w:sz w:val="18"/>
                <w:szCs w:val="18"/>
              </w:rPr>
            </w:pPr>
            <w:r w:rsidRPr="008559CE">
              <w:rPr>
                <w:rFonts w:ascii="Arial" w:hAnsi="Arial" w:cs="Arial"/>
                <w:b/>
                <w:sz w:val="18"/>
                <w:szCs w:val="18"/>
              </w:rPr>
              <w:t xml:space="preserve">legitymują się doświadczeniem w zarządzaniu i zrealizowaniu </w:t>
            </w:r>
            <w:r w:rsidR="00A45764">
              <w:rPr>
                <w:rFonts w:ascii="Arial" w:hAnsi="Arial" w:cs="Arial"/>
                <w:b/>
                <w:sz w:val="18"/>
                <w:szCs w:val="18"/>
              </w:rPr>
              <w:t>projektów wskazanych w punkcie 1) lub 2</w:t>
            </w:r>
            <w:r w:rsidRPr="008559CE">
              <w:rPr>
                <w:rFonts w:ascii="Arial" w:hAnsi="Arial" w:cs="Arial"/>
                <w:b/>
                <w:sz w:val="18"/>
                <w:szCs w:val="18"/>
              </w:rPr>
              <w:t>), których wartość wyniosła łącznie nie mniej niż 50% wartości projektu, o którym mowa w kryterium 4.</w:t>
            </w:r>
          </w:p>
          <w:p w14:paraId="06F6A009" w14:textId="08DE8236" w:rsidR="0001712E" w:rsidRPr="00D5196C" w:rsidRDefault="00F907D0" w:rsidP="008559CE">
            <w:pPr>
              <w:spacing w:before="40" w:after="40" w:line="240" w:lineRule="exact"/>
              <w:jc w:val="both"/>
              <w:rPr>
                <w:rFonts w:ascii="Calibri" w:eastAsia="Calibri" w:hAnsi="Calibri" w:cs="Arial"/>
                <w:color w:val="FF0000"/>
                <w:sz w:val="20"/>
                <w:szCs w:val="20"/>
                <w:lang w:eastAsia="pl-PL"/>
              </w:rPr>
            </w:pPr>
            <w:r w:rsidRPr="00F907D0">
              <w:rPr>
                <w:rFonts w:ascii="Calibri" w:eastAsia="Calibri" w:hAnsi="Calibri" w:cs="Arial"/>
                <w:i/>
                <w:color w:val="000000" w:themeColor="text1"/>
                <w:sz w:val="20"/>
                <w:szCs w:val="20"/>
              </w:rPr>
              <w:t>Ocena dokonywana będzie na podstawie i</w:t>
            </w:r>
            <w:r w:rsidR="00665A0F">
              <w:rPr>
                <w:rFonts w:ascii="Calibri" w:eastAsia="Calibri" w:hAnsi="Calibri" w:cs="Arial"/>
                <w:i/>
                <w:color w:val="000000" w:themeColor="text1"/>
                <w:sz w:val="20"/>
                <w:szCs w:val="20"/>
              </w:rPr>
              <w:t>nformacji zawartych w części IV pkt 4.4</w:t>
            </w:r>
            <w:r w:rsidRPr="00F907D0">
              <w:rPr>
                <w:rFonts w:ascii="Calibri" w:eastAsia="Calibri" w:hAnsi="Calibri" w:cs="Arial"/>
                <w:i/>
                <w:color w:val="000000" w:themeColor="text1"/>
                <w:sz w:val="20"/>
                <w:szCs w:val="20"/>
              </w:rPr>
              <w:t xml:space="preserve"> wniosku o dofinansowanie projektu.  </w:t>
            </w:r>
          </w:p>
        </w:tc>
      </w:tr>
      <w:tr w:rsidR="00D5196C" w:rsidRPr="00D5196C" w14:paraId="464EF997" w14:textId="77777777" w:rsidTr="000033F0">
        <w:tc>
          <w:tcPr>
            <w:tcW w:w="567" w:type="dxa"/>
            <w:shd w:val="clear" w:color="auto" w:fill="auto"/>
            <w:vAlign w:val="center"/>
          </w:tcPr>
          <w:p w14:paraId="735BEFB3" w14:textId="77777777" w:rsidR="000609A1" w:rsidRPr="007660E1" w:rsidRDefault="002506BD" w:rsidP="00895AC9">
            <w:pPr>
              <w:spacing w:after="0" w:line="240" w:lineRule="exact"/>
              <w:jc w:val="center"/>
              <w:rPr>
                <w:rFonts w:ascii="Calibri" w:eastAsia="Calibri" w:hAnsi="Calibri" w:cs="Arial"/>
                <w:color w:val="000000" w:themeColor="text1"/>
                <w:sz w:val="20"/>
                <w:szCs w:val="20"/>
              </w:rPr>
            </w:pPr>
            <w:r w:rsidRPr="007660E1">
              <w:rPr>
                <w:rFonts w:ascii="Calibri" w:eastAsia="Calibri" w:hAnsi="Calibri" w:cs="Arial"/>
                <w:color w:val="000000" w:themeColor="text1"/>
                <w:sz w:val="20"/>
                <w:szCs w:val="20"/>
              </w:rPr>
              <w:t>6.</w:t>
            </w:r>
          </w:p>
        </w:tc>
        <w:tc>
          <w:tcPr>
            <w:tcW w:w="13041" w:type="dxa"/>
            <w:tcBorders>
              <w:top w:val="single" w:sz="4" w:space="0" w:color="auto"/>
              <w:bottom w:val="single" w:sz="4" w:space="0" w:color="auto"/>
            </w:tcBorders>
            <w:shd w:val="clear" w:color="auto" w:fill="auto"/>
          </w:tcPr>
          <w:p w14:paraId="2FF83CD5" w14:textId="77777777" w:rsidR="00665A0F" w:rsidRPr="00665A0F" w:rsidRDefault="00665A0F" w:rsidP="00950EE9">
            <w:pPr>
              <w:spacing w:before="40" w:after="40" w:line="240" w:lineRule="exact"/>
              <w:jc w:val="both"/>
              <w:rPr>
                <w:rFonts w:ascii="Arial" w:hAnsi="Arial" w:cs="Arial"/>
                <w:b/>
                <w:sz w:val="18"/>
                <w:szCs w:val="18"/>
              </w:rPr>
            </w:pPr>
            <w:r w:rsidRPr="00665A0F">
              <w:rPr>
                <w:rFonts w:ascii="Arial" w:hAnsi="Arial" w:cs="Arial"/>
                <w:b/>
                <w:sz w:val="18"/>
                <w:szCs w:val="18"/>
              </w:rPr>
              <w:t xml:space="preserve">Wnioskodawca łącznie z partnerami (jeśli występują w projekcie) zapewni również zdalne udzielanie wsparcia, z wykorzystaniem narzędzi informatycznych np. za pośrednictwem </w:t>
            </w:r>
            <w:proofErr w:type="spellStart"/>
            <w:r w:rsidRPr="00665A0F">
              <w:rPr>
                <w:rFonts w:ascii="Arial" w:hAnsi="Arial" w:cs="Arial"/>
                <w:b/>
                <w:sz w:val="18"/>
                <w:szCs w:val="18"/>
              </w:rPr>
              <w:t>internetu</w:t>
            </w:r>
            <w:proofErr w:type="spellEnd"/>
            <w:r w:rsidRPr="00665A0F">
              <w:rPr>
                <w:rFonts w:ascii="Arial" w:hAnsi="Arial" w:cs="Arial"/>
                <w:b/>
                <w:sz w:val="18"/>
                <w:szCs w:val="18"/>
              </w:rPr>
              <w:t>.</w:t>
            </w:r>
          </w:p>
          <w:p w14:paraId="6DBEA864" w14:textId="74FF7210" w:rsidR="000609A1" w:rsidRPr="002506BD" w:rsidRDefault="00F907D0" w:rsidP="00950EE9">
            <w:pPr>
              <w:spacing w:before="40" w:after="40" w:line="240" w:lineRule="exact"/>
              <w:jc w:val="both"/>
              <w:rPr>
                <w:rFonts w:ascii="Calibri" w:eastAsia="Calibri" w:hAnsi="Calibri" w:cs="Arial"/>
                <w:i/>
                <w:color w:val="000000" w:themeColor="text1"/>
                <w:sz w:val="20"/>
                <w:szCs w:val="20"/>
              </w:rPr>
            </w:pPr>
            <w:r w:rsidRPr="00F907D0">
              <w:rPr>
                <w:rFonts w:ascii="Calibri" w:eastAsia="Calibri" w:hAnsi="Calibri" w:cs="Arial"/>
                <w:i/>
                <w:color w:val="000000" w:themeColor="text1"/>
                <w:sz w:val="20"/>
                <w:szCs w:val="20"/>
              </w:rPr>
              <w:t xml:space="preserve">Ocena dokonywana będzie na podstawie informacji zawartej w części </w:t>
            </w:r>
            <w:r w:rsidR="00665A0F">
              <w:rPr>
                <w:rFonts w:ascii="Calibri" w:eastAsia="Calibri" w:hAnsi="Calibri" w:cs="Arial"/>
                <w:i/>
                <w:color w:val="000000" w:themeColor="text1"/>
                <w:sz w:val="20"/>
                <w:szCs w:val="20"/>
              </w:rPr>
              <w:t>I</w:t>
            </w:r>
            <w:r w:rsidRPr="00F907D0">
              <w:rPr>
                <w:rFonts w:ascii="Calibri" w:eastAsia="Calibri" w:hAnsi="Calibri" w:cs="Arial"/>
                <w:i/>
                <w:color w:val="000000" w:themeColor="text1"/>
                <w:sz w:val="20"/>
                <w:szCs w:val="20"/>
              </w:rPr>
              <w:t xml:space="preserve">V </w:t>
            </w:r>
            <w:r w:rsidR="00665A0F">
              <w:rPr>
                <w:rFonts w:ascii="Calibri" w:eastAsia="Calibri" w:hAnsi="Calibri" w:cs="Arial"/>
                <w:i/>
                <w:color w:val="000000" w:themeColor="text1"/>
                <w:sz w:val="20"/>
                <w:szCs w:val="20"/>
              </w:rPr>
              <w:t xml:space="preserve">pkt 4.1 </w:t>
            </w:r>
            <w:r w:rsidRPr="00F907D0">
              <w:rPr>
                <w:rFonts w:ascii="Calibri" w:eastAsia="Calibri" w:hAnsi="Calibri" w:cs="Arial"/>
                <w:i/>
                <w:color w:val="000000" w:themeColor="text1"/>
                <w:sz w:val="20"/>
                <w:szCs w:val="20"/>
              </w:rPr>
              <w:t>wniosku o dofinansowanie projektu.</w:t>
            </w:r>
          </w:p>
        </w:tc>
      </w:tr>
      <w:tr w:rsidR="00F44190" w:rsidRPr="00D5196C" w14:paraId="38F5A5F2" w14:textId="77777777" w:rsidTr="000033F0">
        <w:tc>
          <w:tcPr>
            <w:tcW w:w="567" w:type="dxa"/>
            <w:shd w:val="clear" w:color="auto" w:fill="auto"/>
            <w:vAlign w:val="center"/>
          </w:tcPr>
          <w:p w14:paraId="5EC9FA08" w14:textId="77777777" w:rsidR="00F44190" w:rsidRPr="007660E1" w:rsidRDefault="00F44190" w:rsidP="00895AC9">
            <w:pPr>
              <w:spacing w:after="0" w:line="240" w:lineRule="exact"/>
              <w:jc w:val="center"/>
              <w:rPr>
                <w:rFonts w:ascii="Calibri" w:eastAsia="Calibri" w:hAnsi="Calibri" w:cs="Arial"/>
                <w:color w:val="000000" w:themeColor="text1"/>
                <w:sz w:val="20"/>
                <w:szCs w:val="20"/>
              </w:rPr>
            </w:pPr>
            <w:r>
              <w:rPr>
                <w:rFonts w:ascii="Calibri" w:eastAsia="Calibri" w:hAnsi="Calibri" w:cs="Arial"/>
                <w:color w:val="000000" w:themeColor="text1"/>
                <w:sz w:val="20"/>
                <w:szCs w:val="20"/>
              </w:rPr>
              <w:t>7</w:t>
            </w:r>
            <w:r w:rsidR="00315306">
              <w:rPr>
                <w:rFonts w:ascii="Calibri" w:eastAsia="Calibri" w:hAnsi="Calibri" w:cs="Arial"/>
                <w:color w:val="000000" w:themeColor="text1"/>
                <w:sz w:val="20"/>
                <w:szCs w:val="20"/>
              </w:rPr>
              <w:t>.</w:t>
            </w:r>
            <w:r>
              <w:rPr>
                <w:rFonts w:ascii="Calibri" w:eastAsia="Calibri" w:hAnsi="Calibri" w:cs="Arial"/>
                <w:color w:val="000000" w:themeColor="text1"/>
                <w:sz w:val="20"/>
                <w:szCs w:val="20"/>
              </w:rPr>
              <w:t xml:space="preserve"> </w:t>
            </w:r>
          </w:p>
        </w:tc>
        <w:tc>
          <w:tcPr>
            <w:tcW w:w="13041" w:type="dxa"/>
            <w:tcBorders>
              <w:top w:val="single" w:sz="4" w:space="0" w:color="auto"/>
              <w:bottom w:val="single" w:sz="4" w:space="0" w:color="auto"/>
            </w:tcBorders>
            <w:shd w:val="clear" w:color="auto" w:fill="auto"/>
          </w:tcPr>
          <w:p w14:paraId="45503043" w14:textId="77777777" w:rsidR="00665A0F" w:rsidRPr="00665A0F" w:rsidRDefault="00665A0F" w:rsidP="00895AC9">
            <w:pPr>
              <w:spacing w:before="40" w:after="40" w:line="240" w:lineRule="exact"/>
              <w:jc w:val="both"/>
              <w:rPr>
                <w:rFonts w:ascii="Arial" w:hAnsi="Arial" w:cs="Arial"/>
                <w:b/>
                <w:sz w:val="18"/>
                <w:szCs w:val="18"/>
              </w:rPr>
            </w:pPr>
            <w:r w:rsidRPr="00665A0F">
              <w:rPr>
                <w:rFonts w:ascii="Arial" w:hAnsi="Arial" w:cs="Arial"/>
                <w:b/>
                <w:sz w:val="18"/>
                <w:szCs w:val="18"/>
              </w:rPr>
              <w:t>W projekcie przewidziano, że jeśli usługi szkoleniowe lub doradcze mające podlegać współfinansowaniu, wynikają z planu rozwoju opracowanego w ramach Działania 2.2 PO WER, to przedsiębiorcy i ich pracownicy mają pierwszeństwo w otrzymaniu wsparcia.</w:t>
            </w:r>
          </w:p>
          <w:p w14:paraId="0E71A5E3" w14:textId="4ABF34F3" w:rsidR="00F44190" w:rsidRPr="002A5545" w:rsidRDefault="00F907D0" w:rsidP="00895AC9">
            <w:pPr>
              <w:spacing w:before="40" w:after="40" w:line="240" w:lineRule="exact"/>
              <w:jc w:val="both"/>
              <w:rPr>
                <w:rFonts w:ascii="Calibri" w:eastAsia="Calibri" w:hAnsi="Calibri" w:cs="Arial"/>
                <w:b/>
                <w:color w:val="000000" w:themeColor="text1"/>
                <w:sz w:val="20"/>
                <w:szCs w:val="20"/>
              </w:rPr>
            </w:pPr>
            <w:r w:rsidRPr="00F907D0">
              <w:rPr>
                <w:rFonts w:ascii="Calibri" w:eastAsia="Calibri" w:hAnsi="Calibri" w:cs="Arial"/>
                <w:i/>
                <w:color w:val="000000" w:themeColor="text1"/>
                <w:sz w:val="20"/>
                <w:szCs w:val="20"/>
              </w:rPr>
              <w:t xml:space="preserve">Ocena dokonywana będzie na podstawie informacji zawartej w części III pkt 3.2 </w:t>
            </w:r>
            <w:r w:rsidR="00665A0F">
              <w:rPr>
                <w:rFonts w:ascii="Calibri" w:eastAsia="Calibri" w:hAnsi="Calibri" w:cs="Arial"/>
                <w:i/>
                <w:color w:val="000000" w:themeColor="text1"/>
                <w:sz w:val="20"/>
                <w:szCs w:val="20"/>
              </w:rPr>
              <w:t xml:space="preserve">oraz IV pkt 4.1 </w:t>
            </w:r>
            <w:r w:rsidRPr="00F907D0">
              <w:rPr>
                <w:rFonts w:ascii="Calibri" w:eastAsia="Calibri" w:hAnsi="Calibri" w:cs="Arial"/>
                <w:i/>
                <w:color w:val="000000" w:themeColor="text1"/>
                <w:sz w:val="20"/>
                <w:szCs w:val="20"/>
              </w:rPr>
              <w:t>wniosku o dofinansowanie projektu.</w:t>
            </w:r>
          </w:p>
        </w:tc>
      </w:tr>
    </w:tbl>
    <w:p w14:paraId="05273A8B" w14:textId="77777777" w:rsidR="000609A1" w:rsidRPr="00D5196C" w:rsidRDefault="000609A1" w:rsidP="00A66C4D">
      <w:pPr>
        <w:jc w:val="both"/>
        <w:rPr>
          <w:rFonts w:ascii="Calibri" w:hAnsi="Calibri"/>
          <w:color w:val="FF0000"/>
          <w:sz w:val="20"/>
          <w:szCs w:val="20"/>
        </w:rPr>
      </w:pPr>
    </w:p>
    <w:p w14:paraId="391CAAB7" w14:textId="77777777" w:rsidR="000609A1" w:rsidRPr="00D5196C" w:rsidRDefault="000609A1" w:rsidP="00A66C4D">
      <w:pPr>
        <w:jc w:val="both"/>
        <w:rPr>
          <w:rFonts w:ascii="Calibri" w:hAnsi="Calibri"/>
          <w:color w:val="FF0000"/>
          <w:sz w:val="20"/>
          <w:szCs w:val="20"/>
        </w:rPr>
      </w:pPr>
    </w:p>
    <w:sectPr w:rsidR="000609A1" w:rsidRPr="00D5196C" w:rsidSect="00CE6025">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806" w:bottom="567" w:left="1417" w:header="284" w:footer="4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098E0" w14:textId="77777777" w:rsidR="0069388D" w:rsidRDefault="0069388D" w:rsidP="00F91883">
      <w:pPr>
        <w:spacing w:after="0" w:line="240" w:lineRule="auto"/>
      </w:pPr>
      <w:r>
        <w:separator/>
      </w:r>
    </w:p>
  </w:endnote>
  <w:endnote w:type="continuationSeparator" w:id="0">
    <w:p w14:paraId="47E9AE48" w14:textId="77777777" w:rsidR="0069388D" w:rsidRDefault="0069388D" w:rsidP="00F9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1D13F" w14:textId="77777777" w:rsidR="009F5DA0" w:rsidRDefault="009F5DA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894035"/>
      <w:docPartObj>
        <w:docPartGallery w:val="Page Numbers (Bottom of Page)"/>
        <w:docPartUnique/>
      </w:docPartObj>
    </w:sdtPr>
    <w:sdtEndPr/>
    <w:sdtContent>
      <w:p w14:paraId="6F4E9C4E" w14:textId="77777777" w:rsidR="00E2586C" w:rsidRDefault="00E2586C">
        <w:pPr>
          <w:pStyle w:val="Stopka"/>
          <w:jc w:val="right"/>
        </w:pPr>
        <w:r>
          <w:fldChar w:fldCharType="begin"/>
        </w:r>
        <w:r>
          <w:instrText>PAGE   \* MERGEFORMAT</w:instrText>
        </w:r>
        <w:r>
          <w:fldChar w:fldCharType="separate"/>
        </w:r>
        <w:r w:rsidR="009F5DA0">
          <w:rPr>
            <w:noProof/>
          </w:rPr>
          <w:t>2</w:t>
        </w:r>
        <w:r>
          <w:fldChar w:fldCharType="end"/>
        </w:r>
      </w:p>
    </w:sdtContent>
  </w:sdt>
  <w:p w14:paraId="35CF5F89" w14:textId="77777777" w:rsidR="00E2586C" w:rsidRDefault="00E2586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11F41" w14:textId="77777777" w:rsidR="009F5DA0" w:rsidRDefault="009F5D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94098" w14:textId="77777777" w:rsidR="0069388D" w:rsidRDefault="0069388D" w:rsidP="00F91883">
      <w:pPr>
        <w:spacing w:after="0" w:line="240" w:lineRule="auto"/>
      </w:pPr>
      <w:r>
        <w:separator/>
      </w:r>
    </w:p>
  </w:footnote>
  <w:footnote w:type="continuationSeparator" w:id="0">
    <w:p w14:paraId="3B46B857" w14:textId="77777777" w:rsidR="0069388D" w:rsidRDefault="0069388D" w:rsidP="00F91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F5099" w14:textId="77777777" w:rsidR="009F5DA0" w:rsidRDefault="009F5DA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F459A" w14:textId="3010310C" w:rsidR="00E2586C" w:rsidRDefault="00E2586C" w:rsidP="00B13F55">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58467" w14:textId="79E92E60" w:rsidR="00CE6025" w:rsidRDefault="00CE6025" w:rsidP="00CE6025">
    <w:pPr>
      <w:pStyle w:val="Nagwek"/>
      <w:jc w:val="center"/>
    </w:pPr>
    <w:r>
      <w:rPr>
        <w:noProof/>
        <w:lang w:eastAsia="pl-PL"/>
      </w:rPr>
      <w:drawing>
        <wp:inline distT="0" distB="0" distL="0" distR="0" wp14:anchorId="57A3BD4F" wp14:editId="04CAFA18">
          <wp:extent cx="7571740" cy="1066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668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2CE5"/>
    <w:multiLevelType w:val="hybridMultilevel"/>
    <w:tmpl w:val="114E2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A27620"/>
    <w:multiLevelType w:val="hybridMultilevel"/>
    <w:tmpl w:val="CAE4210C"/>
    <w:lvl w:ilvl="0" w:tplc="007042D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8F0B44"/>
    <w:multiLevelType w:val="hybridMultilevel"/>
    <w:tmpl w:val="F34AE2C2"/>
    <w:lvl w:ilvl="0" w:tplc="CC1C03D8">
      <w:start w:val="1"/>
      <w:numFmt w:val="decimal"/>
      <w:lvlText w:val="%1."/>
      <w:lvlJc w:val="left"/>
      <w:pPr>
        <w:ind w:left="417" w:hanging="360"/>
      </w:pPr>
      <w:rPr>
        <w:rFonts w:hint="default"/>
      </w:rPr>
    </w:lvl>
    <w:lvl w:ilvl="1" w:tplc="0415000F">
      <w:start w:val="1"/>
      <w:numFmt w:val="decimal"/>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 w15:restartNumberingAfterBreak="0">
    <w:nsid w:val="3D911FBA"/>
    <w:multiLevelType w:val="hybridMultilevel"/>
    <w:tmpl w:val="AEAEDE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40000EC5"/>
    <w:multiLevelType w:val="hybridMultilevel"/>
    <w:tmpl w:val="FFB4229C"/>
    <w:lvl w:ilvl="0" w:tplc="EA623328">
      <w:numFmt w:val="bullet"/>
      <w:lvlText w:val="•"/>
      <w:lvlJc w:val="left"/>
      <w:pPr>
        <w:ind w:left="1065" w:hanging="705"/>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D73EA3"/>
    <w:multiLevelType w:val="hybridMultilevel"/>
    <w:tmpl w:val="84D67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0812323"/>
    <w:multiLevelType w:val="hybridMultilevel"/>
    <w:tmpl w:val="F34AE2C2"/>
    <w:lvl w:ilvl="0" w:tplc="CC1C03D8">
      <w:start w:val="1"/>
      <w:numFmt w:val="decimal"/>
      <w:lvlText w:val="%1."/>
      <w:lvlJc w:val="left"/>
      <w:pPr>
        <w:ind w:left="417" w:hanging="360"/>
      </w:pPr>
      <w:rPr>
        <w:rFonts w:hint="default"/>
      </w:rPr>
    </w:lvl>
    <w:lvl w:ilvl="1" w:tplc="0415000F">
      <w:start w:val="1"/>
      <w:numFmt w:val="decimal"/>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 w15:restartNumberingAfterBreak="0">
    <w:nsid w:val="75F474C3"/>
    <w:multiLevelType w:val="hybridMultilevel"/>
    <w:tmpl w:val="5A62E2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7F67C1"/>
    <w:multiLevelType w:val="hybridMultilevel"/>
    <w:tmpl w:val="F34AE2C2"/>
    <w:lvl w:ilvl="0" w:tplc="CC1C03D8">
      <w:start w:val="1"/>
      <w:numFmt w:val="decimal"/>
      <w:lvlText w:val="%1."/>
      <w:lvlJc w:val="left"/>
      <w:pPr>
        <w:ind w:left="417" w:hanging="360"/>
      </w:pPr>
      <w:rPr>
        <w:rFonts w:hint="default"/>
      </w:rPr>
    </w:lvl>
    <w:lvl w:ilvl="1" w:tplc="0415000F">
      <w:start w:val="1"/>
      <w:numFmt w:val="decimal"/>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 w15:restartNumberingAfterBreak="0">
    <w:nsid w:val="78A10861"/>
    <w:multiLevelType w:val="hybridMultilevel"/>
    <w:tmpl w:val="F34AE2C2"/>
    <w:lvl w:ilvl="0" w:tplc="CC1C03D8">
      <w:start w:val="1"/>
      <w:numFmt w:val="decimal"/>
      <w:lvlText w:val="%1."/>
      <w:lvlJc w:val="left"/>
      <w:pPr>
        <w:ind w:left="417" w:hanging="360"/>
      </w:pPr>
      <w:rPr>
        <w:rFonts w:hint="default"/>
      </w:rPr>
    </w:lvl>
    <w:lvl w:ilvl="1" w:tplc="0415000F">
      <w:start w:val="1"/>
      <w:numFmt w:val="decimal"/>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0" w15:restartNumberingAfterBreak="0">
    <w:nsid w:val="799C25BA"/>
    <w:multiLevelType w:val="hybridMultilevel"/>
    <w:tmpl w:val="2208F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BF24E47"/>
    <w:multiLevelType w:val="hybridMultilevel"/>
    <w:tmpl w:val="5E72AC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5"/>
  </w:num>
  <w:num w:numId="5">
    <w:abstractNumId w:val="4"/>
  </w:num>
  <w:num w:numId="6">
    <w:abstractNumId w:val="7"/>
  </w:num>
  <w:num w:numId="7">
    <w:abstractNumId w:val="1"/>
  </w:num>
  <w:num w:numId="8">
    <w:abstractNumId w:val="11"/>
  </w:num>
  <w:num w:numId="9">
    <w:abstractNumId w:val="9"/>
  </w:num>
  <w:num w:numId="10">
    <w:abstractNumId w:val="6"/>
  </w:num>
  <w:num w:numId="11">
    <w:abstractNumId w:val="2"/>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doNotDisplayPageBoundaries/>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83"/>
    <w:rsid w:val="000033F0"/>
    <w:rsid w:val="0001712E"/>
    <w:rsid w:val="0003269D"/>
    <w:rsid w:val="0005465E"/>
    <w:rsid w:val="000609A1"/>
    <w:rsid w:val="00081192"/>
    <w:rsid w:val="0009394E"/>
    <w:rsid w:val="00094A1C"/>
    <w:rsid w:val="000E321E"/>
    <w:rsid w:val="00100C7C"/>
    <w:rsid w:val="001337EF"/>
    <w:rsid w:val="001712A1"/>
    <w:rsid w:val="001767C8"/>
    <w:rsid w:val="001C4F11"/>
    <w:rsid w:val="001F2AE6"/>
    <w:rsid w:val="00224D8A"/>
    <w:rsid w:val="002506BD"/>
    <w:rsid w:val="00256C6B"/>
    <w:rsid w:val="00257A92"/>
    <w:rsid w:val="002A5545"/>
    <w:rsid w:val="002F21B0"/>
    <w:rsid w:val="00315306"/>
    <w:rsid w:val="00326BD8"/>
    <w:rsid w:val="00383FB4"/>
    <w:rsid w:val="0039674C"/>
    <w:rsid w:val="003B0668"/>
    <w:rsid w:val="003F36C6"/>
    <w:rsid w:val="0043097D"/>
    <w:rsid w:val="00440B16"/>
    <w:rsid w:val="00506410"/>
    <w:rsid w:val="00544DA6"/>
    <w:rsid w:val="005A702F"/>
    <w:rsid w:val="006177A8"/>
    <w:rsid w:val="00627AF9"/>
    <w:rsid w:val="00642E93"/>
    <w:rsid w:val="00665A0F"/>
    <w:rsid w:val="00684E8E"/>
    <w:rsid w:val="0069388D"/>
    <w:rsid w:val="006A249D"/>
    <w:rsid w:val="006C0520"/>
    <w:rsid w:val="006C0806"/>
    <w:rsid w:val="006C163E"/>
    <w:rsid w:val="006E5EE3"/>
    <w:rsid w:val="00703F6D"/>
    <w:rsid w:val="0072190F"/>
    <w:rsid w:val="007660E1"/>
    <w:rsid w:val="007C4A2C"/>
    <w:rsid w:val="007D32BD"/>
    <w:rsid w:val="007E2403"/>
    <w:rsid w:val="00817A56"/>
    <w:rsid w:val="00847BBB"/>
    <w:rsid w:val="008559CE"/>
    <w:rsid w:val="008C1F93"/>
    <w:rsid w:val="00900CE9"/>
    <w:rsid w:val="00950EE9"/>
    <w:rsid w:val="00957914"/>
    <w:rsid w:val="009E3D07"/>
    <w:rsid w:val="009F069C"/>
    <w:rsid w:val="009F5DA0"/>
    <w:rsid w:val="00A14DBB"/>
    <w:rsid w:val="00A215FE"/>
    <w:rsid w:val="00A258D2"/>
    <w:rsid w:val="00A409CF"/>
    <w:rsid w:val="00A45764"/>
    <w:rsid w:val="00A66C4D"/>
    <w:rsid w:val="00A7584C"/>
    <w:rsid w:val="00A902E6"/>
    <w:rsid w:val="00A953FE"/>
    <w:rsid w:val="00B13F55"/>
    <w:rsid w:val="00B177B3"/>
    <w:rsid w:val="00B37924"/>
    <w:rsid w:val="00B5126D"/>
    <w:rsid w:val="00B6501E"/>
    <w:rsid w:val="00BB0DF9"/>
    <w:rsid w:val="00BE09C4"/>
    <w:rsid w:val="00BF2F40"/>
    <w:rsid w:val="00C1234D"/>
    <w:rsid w:val="00C30C96"/>
    <w:rsid w:val="00C31790"/>
    <w:rsid w:val="00C52244"/>
    <w:rsid w:val="00C636C3"/>
    <w:rsid w:val="00C67297"/>
    <w:rsid w:val="00CB1140"/>
    <w:rsid w:val="00CE6025"/>
    <w:rsid w:val="00D009E0"/>
    <w:rsid w:val="00D5196C"/>
    <w:rsid w:val="00D5477F"/>
    <w:rsid w:val="00D667E9"/>
    <w:rsid w:val="00D75DCB"/>
    <w:rsid w:val="00D857D9"/>
    <w:rsid w:val="00D96932"/>
    <w:rsid w:val="00DD39AF"/>
    <w:rsid w:val="00DE3E40"/>
    <w:rsid w:val="00E02097"/>
    <w:rsid w:val="00E14A2D"/>
    <w:rsid w:val="00E1714B"/>
    <w:rsid w:val="00E2586C"/>
    <w:rsid w:val="00E32DBC"/>
    <w:rsid w:val="00E833BF"/>
    <w:rsid w:val="00E8432F"/>
    <w:rsid w:val="00E852BA"/>
    <w:rsid w:val="00E878B9"/>
    <w:rsid w:val="00EC0FDE"/>
    <w:rsid w:val="00EE0D71"/>
    <w:rsid w:val="00EE650D"/>
    <w:rsid w:val="00F44190"/>
    <w:rsid w:val="00F70D75"/>
    <w:rsid w:val="00F907D0"/>
    <w:rsid w:val="00F91883"/>
    <w:rsid w:val="00F9505A"/>
    <w:rsid w:val="00F956E2"/>
    <w:rsid w:val="00FA11DC"/>
    <w:rsid w:val="00FD21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9C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91883"/>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link w:val="Akapitzlist"/>
    <w:uiPriority w:val="34"/>
    <w:rsid w:val="00F91883"/>
    <w:rPr>
      <w:rFonts w:ascii="Times New Roman" w:eastAsia="Times New Roman" w:hAnsi="Times New Roman" w:cs="Times New Roman"/>
      <w:sz w:val="24"/>
      <w:szCs w:val="24"/>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rsid w:val="00F91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F91883"/>
    <w:rPr>
      <w:rFonts w:ascii="Times New Roman" w:eastAsia="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Times 10 Point"/>
    <w:rsid w:val="00F91883"/>
    <w:rPr>
      <w:vertAlign w:val="superscript"/>
    </w:rPr>
  </w:style>
  <w:style w:type="paragraph" w:customStyle="1" w:styleId="Standard">
    <w:name w:val="Standard"/>
    <w:rsid w:val="00F91883"/>
    <w:pPr>
      <w:widowControl w:val="0"/>
      <w:autoSpaceDE w:val="0"/>
      <w:autoSpaceDN w:val="0"/>
      <w:spacing w:after="0" w:line="240" w:lineRule="auto"/>
      <w:jc w:val="both"/>
    </w:pPr>
    <w:rPr>
      <w:rFonts w:ascii="Arial" w:eastAsia="Times New Roman" w:hAnsi="Arial" w:cs="Arial"/>
      <w:lang w:eastAsia="pl-PL"/>
    </w:rPr>
  </w:style>
  <w:style w:type="paragraph" w:styleId="Nagwek">
    <w:name w:val="header"/>
    <w:basedOn w:val="Normalny"/>
    <w:link w:val="NagwekZnak"/>
    <w:uiPriority w:val="99"/>
    <w:unhideWhenUsed/>
    <w:rsid w:val="00E258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86C"/>
  </w:style>
  <w:style w:type="paragraph" w:styleId="Stopka">
    <w:name w:val="footer"/>
    <w:basedOn w:val="Normalny"/>
    <w:link w:val="StopkaZnak"/>
    <w:uiPriority w:val="99"/>
    <w:unhideWhenUsed/>
    <w:rsid w:val="00E258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86C"/>
  </w:style>
  <w:style w:type="paragraph" w:styleId="Tekstdymka">
    <w:name w:val="Balloon Text"/>
    <w:basedOn w:val="Normalny"/>
    <w:link w:val="TekstdymkaZnak"/>
    <w:uiPriority w:val="99"/>
    <w:semiHidden/>
    <w:unhideWhenUsed/>
    <w:rsid w:val="00E258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586C"/>
    <w:rPr>
      <w:rFonts w:ascii="Tahoma" w:hAnsi="Tahoma" w:cs="Tahoma"/>
      <w:sz w:val="16"/>
      <w:szCs w:val="16"/>
    </w:rPr>
  </w:style>
  <w:style w:type="character" w:styleId="Odwoaniedokomentarza">
    <w:name w:val="annotation reference"/>
    <w:uiPriority w:val="99"/>
    <w:unhideWhenUsed/>
    <w:rsid w:val="00703F6D"/>
    <w:rPr>
      <w:sz w:val="16"/>
      <w:szCs w:val="16"/>
    </w:rPr>
  </w:style>
  <w:style w:type="paragraph" w:styleId="Tekstkomentarza">
    <w:name w:val="annotation text"/>
    <w:aliases w:val="Znak, Znak"/>
    <w:basedOn w:val="Normalny"/>
    <w:link w:val="TekstkomentarzaZnak"/>
    <w:uiPriority w:val="99"/>
    <w:unhideWhenUsed/>
    <w:rsid w:val="00703F6D"/>
    <w:rPr>
      <w:rFonts w:ascii="Calibri" w:eastAsia="Calibri" w:hAnsi="Calibri" w:cs="Times New Roman"/>
      <w:sz w:val="20"/>
      <w:szCs w:val="20"/>
    </w:rPr>
  </w:style>
  <w:style w:type="character" w:customStyle="1" w:styleId="TekstkomentarzaZnak">
    <w:name w:val="Tekst komentarza Znak"/>
    <w:aliases w:val="Znak Znak, Znak Znak"/>
    <w:basedOn w:val="Domylnaczcionkaakapitu"/>
    <w:link w:val="Tekstkomentarza"/>
    <w:uiPriority w:val="99"/>
    <w:semiHidden/>
    <w:rsid w:val="00703F6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1712E"/>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1712E"/>
    <w:rPr>
      <w:rFonts w:ascii="Calibri" w:eastAsia="Calibri" w:hAnsi="Calibri" w:cs="Times New Roman"/>
      <w:b/>
      <w:bCs/>
      <w:sz w:val="20"/>
      <w:szCs w:val="20"/>
    </w:rPr>
  </w:style>
  <w:style w:type="paragraph" w:styleId="Zwykytekst">
    <w:name w:val="Plain Text"/>
    <w:basedOn w:val="Normalny"/>
    <w:link w:val="ZwykytekstZnak"/>
    <w:uiPriority w:val="99"/>
    <w:unhideWhenUsed/>
    <w:rsid w:val="00F956E2"/>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F956E2"/>
    <w:rPr>
      <w:rFonts w:ascii="Consolas" w:hAnsi="Consolas" w:cs="Consolas"/>
      <w:sz w:val="21"/>
      <w:szCs w:val="21"/>
    </w:rPr>
  </w:style>
  <w:style w:type="paragraph" w:customStyle="1" w:styleId="Default">
    <w:name w:val="Default"/>
    <w:rsid w:val="007660E1"/>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0939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2734">
      <w:bodyDiv w:val="1"/>
      <w:marLeft w:val="0"/>
      <w:marRight w:val="0"/>
      <w:marTop w:val="0"/>
      <w:marBottom w:val="0"/>
      <w:divBdr>
        <w:top w:val="none" w:sz="0" w:space="0" w:color="auto"/>
        <w:left w:val="none" w:sz="0" w:space="0" w:color="auto"/>
        <w:bottom w:val="none" w:sz="0" w:space="0" w:color="auto"/>
        <w:right w:val="none" w:sz="0" w:space="0" w:color="auto"/>
      </w:divBdr>
    </w:div>
    <w:div w:id="548107011">
      <w:bodyDiv w:val="1"/>
      <w:marLeft w:val="0"/>
      <w:marRight w:val="0"/>
      <w:marTop w:val="0"/>
      <w:marBottom w:val="0"/>
      <w:divBdr>
        <w:top w:val="none" w:sz="0" w:space="0" w:color="auto"/>
        <w:left w:val="none" w:sz="0" w:space="0" w:color="auto"/>
        <w:bottom w:val="none" w:sz="0" w:space="0" w:color="auto"/>
        <w:right w:val="none" w:sz="0" w:space="0" w:color="auto"/>
      </w:divBdr>
    </w:div>
    <w:div w:id="558175727">
      <w:bodyDiv w:val="1"/>
      <w:marLeft w:val="0"/>
      <w:marRight w:val="0"/>
      <w:marTop w:val="0"/>
      <w:marBottom w:val="0"/>
      <w:divBdr>
        <w:top w:val="none" w:sz="0" w:space="0" w:color="auto"/>
        <w:left w:val="none" w:sz="0" w:space="0" w:color="auto"/>
        <w:bottom w:val="none" w:sz="0" w:space="0" w:color="auto"/>
        <w:right w:val="none" w:sz="0" w:space="0" w:color="auto"/>
      </w:divBdr>
    </w:div>
    <w:div w:id="732198369">
      <w:bodyDiv w:val="1"/>
      <w:marLeft w:val="0"/>
      <w:marRight w:val="0"/>
      <w:marTop w:val="0"/>
      <w:marBottom w:val="0"/>
      <w:divBdr>
        <w:top w:val="none" w:sz="0" w:space="0" w:color="auto"/>
        <w:left w:val="none" w:sz="0" w:space="0" w:color="auto"/>
        <w:bottom w:val="none" w:sz="0" w:space="0" w:color="auto"/>
        <w:right w:val="none" w:sz="0" w:space="0" w:color="auto"/>
      </w:divBdr>
    </w:div>
    <w:div w:id="1113399458">
      <w:bodyDiv w:val="1"/>
      <w:marLeft w:val="0"/>
      <w:marRight w:val="0"/>
      <w:marTop w:val="0"/>
      <w:marBottom w:val="0"/>
      <w:divBdr>
        <w:top w:val="none" w:sz="0" w:space="0" w:color="auto"/>
        <w:left w:val="none" w:sz="0" w:space="0" w:color="auto"/>
        <w:bottom w:val="none" w:sz="0" w:space="0" w:color="auto"/>
        <w:right w:val="none" w:sz="0" w:space="0" w:color="auto"/>
      </w:divBdr>
    </w:div>
    <w:div w:id="19506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F82B6-3A6D-4BDB-8786-FF4AD9F8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4121</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2018-01-31T10:12:00Z</dcterms:created>
  <dcterms:modified xsi:type="dcterms:W3CDTF">2018-01-31T10:12:00Z</dcterms:modified>
</cp:coreProperties>
</file>